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FB8B2" w14:textId="50EAC627" w:rsidR="00065CB2" w:rsidRPr="00DF2B53" w:rsidRDefault="00F06263" w:rsidP="004B7402">
      <w:pPr>
        <w:pStyle w:val="Heading1"/>
        <w:jc w:val="center"/>
        <w:rPr>
          <w:rFonts w:ascii="Times New Roman" w:hAnsi="Times New Roman"/>
          <w:b w:val="0"/>
          <w:bCs w:val="0"/>
          <w:sz w:val="28"/>
          <w:szCs w:val="24"/>
          <w:u w:val="single"/>
          <w:lang w:val="en-GB"/>
        </w:rPr>
      </w:pPr>
      <w:r w:rsidRPr="00DF2B53">
        <w:rPr>
          <w:rFonts w:ascii="Times New Roman" w:hAnsi="Times New Roman"/>
          <w:sz w:val="28"/>
          <w:szCs w:val="24"/>
          <w:u w:val="single"/>
          <w:lang w:val="en-GB"/>
        </w:rPr>
        <w:t>States of Emergency</w:t>
      </w:r>
      <w:r w:rsidR="00492976" w:rsidRPr="00DF2B53">
        <w:rPr>
          <w:rFonts w:ascii="Times New Roman" w:hAnsi="Times New Roman"/>
          <w:sz w:val="28"/>
          <w:szCs w:val="24"/>
          <w:u w:val="single"/>
          <w:lang w:val="en-GB"/>
        </w:rPr>
        <w:t xml:space="preserve">, </w:t>
      </w:r>
      <w:r w:rsidR="00895146" w:rsidRPr="00DF2B53">
        <w:rPr>
          <w:rFonts w:ascii="Times New Roman" w:hAnsi="Times New Roman"/>
          <w:sz w:val="28"/>
          <w:szCs w:val="24"/>
          <w:u w:val="single"/>
          <w:lang w:val="en-GB"/>
        </w:rPr>
        <w:t xml:space="preserve">Simultaneous </w:t>
      </w:r>
      <w:r w:rsidR="00492976" w:rsidRPr="00DF2B53">
        <w:rPr>
          <w:rFonts w:ascii="Times New Roman" w:hAnsi="Times New Roman"/>
          <w:sz w:val="28"/>
          <w:szCs w:val="24"/>
          <w:u w:val="single"/>
          <w:lang w:val="en-GB"/>
        </w:rPr>
        <w:t xml:space="preserve">Overreach and Underreach, and </w:t>
      </w:r>
      <w:r w:rsidRPr="00DF2B53">
        <w:rPr>
          <w:rFonts w:ascii="Times New Roman" w:hAnsi="Times New Roman"/>
          <w:sz w:val="28"/>
          <w:szCs w:val="24"/>
          <w:u w:val="single"/>
          <w:lang w:val="en-GB"/>
        </w:rPr>
        <w:t>the COVID-19 Pan(</w:t>
      </w:r>
      <w:proofErr w:type="spellStart"/>
      <w:r w:rsidRPr="00DF2B53">
        <w:rPr>
          <w:rFonts w:ascii="Times New Roman" w:hAnsi="Times New Roman"/>
          <w:sz w:val="28"/>
          <w:szCs w:val="24"/>
          <w:u w:val="single"/>
          <w:lang w:val="en-GB"/>
        </w:rPr>
        <w:t>dem</w:t>
      </w:r>
      <w:proofErr w:type="spellEnd"/>
      <w:r w:rsidRPr="00DF2B53">
        <w:rPr>
          <w:rFonts w:ascii="Times New Roman" w:hAnsi="Times New Roman"/>
          <w:sz w:val="28"/>
          <w:szCs w:val="24"/>
          <w:u w:val="single"/>
          <w:lang w:val="en-GB"/>
        </w:rPr>
        <w:t>)</w:t>
      </w:r>
      <w:proofErr w:type="spellStart"/>
      <w:proofErr w:type="gramStart"/>
      <w:r w:rsidRPr="00DF2B53">
        <w:rPr>
          <w:rFonts w:ascii="Times New Roman" w:hAnsi="Times New Roman"/>
          <w:sz w:val="28"/>
          <w:szCs w:val="24"/>
          <w:u w:val="single"/>
          <w:lang w:val="en-GB"/>
        </w:rPr>
        <w:t>ic</w:t>
      </w:r>
      <w:proofErr w:type="spellEnd"/>
      <w:proofErr w:type="gramEnd"/>
    </w:p>
    <w:p w14:paraId="124588F7" w14:textId="49F4E373" w:rsidR="00F06263" w:rsidRPr="00DF2B53" w:rsidRDefault="00F06263" w:rsidP="00F06263">
      <w:pPr>
        <w:jc w:val="center"/>
        <w:rPr>
          <w:rFonts w:ascii="Times New Roman" w:hAnsi="Times New Roman" w:cs="Times New Roman"/>
        </w:rPr>
      </w:pPr>
    </w:p>
    <w:p w14:paraId="37126652" w14:textId="77777777" w:rsidR="00E67E8D" w:rsidRPr="00015B61" w:rsidRDefault="00E67E8D" w:rsidP="00E67E8D">
      <w:pPr>
        <w:jc w:val="center"/>
        <w:rPr>
          <w:rFonts w:ascii="Times New Roman" w:hAnsi="Times New Roman" w:cs="Times New Roman"/>
          <w:lang w:val="en-US"/>
        </w:rPr>
      </w:pPr>
      <w:r w:rsidRPr="00015B61">
        <w:rPr>
          <w:rFonts w:ascii="Times New Roman" w:hAnsi="Times New Roman" w:cs="Times New Roman"/>
          <w:lang w:val="en-US"/>
        </w:rPr>
        <w:t>Max Steuer</w:t>
      </w:r>
      <w:r w:rsidRPr="00DC52BD">
        <w:rPr>
          <w:rStyle w:val="FootnoteReference"/>
        </w:rPr>
        <w:footnoteReference w:id="1"/>
      </w:r>
    </w:p>
    <w:p w14:paraId="01094F6D" w14:textId="77777777" w:rsidR="00E67E8D" w:rsidRDefault="00E67E8D" w:rsidP="003F7703">
      <w:pPr>
        <w:jc w:val="both"/>
        <w:rPr>
          <w:rFonts w:ascii="Times New Roman" w:hAnsi="Times New Roman" w:cs="Times New Roman"/>
          <w:i/>
          <w:iCs/>
        </w:rPr>
        <w:sectPr w:rsidR="00E67E8D" w:rsidSect="00C6076C">
          <w:headerReference w:type="default" r:id="rId8"/>
          <w:footerReference w:type="default" r:id="rId9"/>
          <w:footnotePr>
            <w:numFmt w:val="chicago"/>
            <w:numRestart w:val="eachSect"/>
          </w:footnotePr>
          <w:pgSz w:w="11900" w:h="16840"/>
          <w:pgMar w:top="1440" w:right="1440" w:bottom="1440" w:left="1440" w:header="708" w:footer="708" w:gutter="0"/>
          <w:cols w:space="708"/>
          <w:docGrid w:linePitch="360"/>
        </w:sectPr>
      </w:pPr>
    </w:p>
    <w:p w14:paraId="6FB61361" w14:textId="77777777" w:rsidR="00E67E8D" w:rsidRDefault="00E67E8D" w:rsidP="003F7703">
      <w:pPr>
        <w:jc w:val="both"/>
        <w:rPr>
          <w:rFonts w:ascii="Times New Roman" w:hAnsi="Times New Roman" w:cs="Times New Roman"/>
          <w:i/>
          <w:iCs/>
        </w:rPr>
      </w:pPr>
    </w:p>
    <w:p w14:paraId="12989C21" w14:textId="033DAA2C" w:rsidR="00B9281D" w:rsidRPr="00DF2B53" w:rsidRDefault="00B9281D" w:rsidP="003F7703">
      <w:pPr>
        <w:jc w:val="both"/>
        <w:rPr>
          <w:rFonts w:ascii="Times New Roman" w:hAnsi="Times New Roman" w:cs="Times New Roman"/>
        </w:rPr>
      </w:pPr>
      <w:r w:rsidRPr="00DF2B53">
        <w:rPr>
          <w:rFonts w:ascii="Times New Roman" w:hAnsi="Times New Roman" w:cs="Times New Roman"/>
          <w:i/>
          <w:iCs/>
        </w:rPr>
        <w:t xml:space="preserve">Abstract: </w:t>
      </w:r>
      <w:r w:rsidRPr="00DF2B53">
        <w:rPr>
          <w:rFonts w:ascii="Times New Roman" w:hAnsi="Times New Roman" w:cs="Times New Roman"/>
        </w:rPr>
        <w:t>Previous research has neglected how repeated declarations of states of emergency (</w:t>
      </w:r>
      <w:proofErr w:type="spellStart"/>
      <w:r w:rsidRPr="00DF2B53">
        <w:rPr>
          <w:rFonts w:ascii="Times New Roman" w:hAnsi="Times New Roman" w:cs="Times New Roman"/>
        </w:rPr>
        <w:t>SsoE</w:t>
      </w:r>
      <w:proofErr w:type="spellEnd"/>
      <w:r w:rsidRPr="00DF2B53">
        <w:rPr>
          <w:rFonts w:ascii="Times New Roman" w:hAnsi="Times New Roman" w:cs="Times New Roman"/>
        </w:rPr>
        <w:t xml:space="preserve">) in response to the same emergency may combine with executive overreach and underreach within a single jurisdiction, undermining the authority of the </w:t>
      </w:r>
      <w:proofErr w:type="spellStart"/>
      <w:r w:rsidRPr="00DF2B53">
        <w:rPr>
          <w:rFonts w:ascii="Times New Roman" w:hAnsi="Times New Roman" w:cs="Times New Roman"/>
        </w:rPr>
        <w:t>SsoE</w:t>
      </w:r>
      <w:proofErr w:type="spellEnd"/>
      <w:r w:rsidRPr="00DF2B53">
        <w:rPr>
          <w:rFonts w:ascii="Times New Roman" w:hAnsi="Times New Roman" w:cs="Times New Roman"/>
        </w:rPr>
        <w:t xml:space="preserve"> as a legal institution and increasing the vulnerability of the constitutional system as a result. This paper examines how the decision-makers’ commitment to a culture of justification is central for avoiding emergency mismanagement via </w:t>
      </w:r>
      <w:r w:rsidR="005E05D5">
        <w:rPr>
          <w:rFonts w:ascii="Times New Roman" w:hAnsi="Times New Roman" w:cs="Times New Roman"/>
        </w:rPr>
        <w:t>underreach, overreach, or their combination</w:t>
      </w:r>
      <w:r w:rsidRPr="00DF2B53">
        <w:rPr>
          <w:rFonts w:ascii="Times New Roman" w:hAnsi="Times New Roman" w:cs="Times New Roman"/>
        </w:rPr>
        <w:t>. The simultaneous instances of executive overreach and underreach as two types of emergency management failures are studied via the Slovak</w:t>
      </w:r>
      <w:r w:rsidR="005E05D5">
        <w:rPr>
          <w:rFonts w:ascii="Times New Roman" w:hAnsi="Times New Roman" w:cs="Times New Roman"/>
        </w:rPr>
        <w:t xml:space="preserve"> case</w:t>
      </w:r>
      <w:r w:rsidRPr="00DF2B53">
        <w:rPr>
          <w:rFonts w:ascii="Times New Roman" w:hAnsi="Times New Roman" w:cs="Times New Roman"/>
        </w:rPr>
        <w:t xml:space="preserve">, celebrated for its initial response to the COVID-19 pandemic, but castigated for its failure to contain the subsequent waves. The analysis of the legal framework of the </w:t>
      </w:r>
      <w:proofErr w:type="spellStart"/>
      <w:r w:rsidRPr="00DF2B53">
        <w:rPr>
          <w:rFonts w:ascii="Times New Roman" w:hAnsi="Times New Roman" w:cs="Times New Roman"/>
        </w:rPr>
        <w:t>SsoE</w:t>
      </w:r>
      <w:proofErr w:type="spellEnd"/>
      <w:r w:rsidRPr="00DF2B53">
        <w:rPr>
          <w:rFonts w:ascii="Times New Roman" w:hAnsi="Times New Roman" w:cs="Times New Roman"/>
        </w:rPr>
        <w:t xml:space="preserve"> and the justifications for </w:t>
      </w:r>
      <w:proofErr w:type="spellStart"/>
      <w:r w:rsidRPr="00DF2B53">
        <w:rPr>
          <w:rFonts w:ascii="Times New Roman" w:hAnsi="Times New Roman" w:cs="Times New Roman"/>
        </w:rPr>
        <w:t>S</w:t>
      </w:r>
      <w:r w:rsidR="00FE09DD">
        <w:rPr>
          <w:rFonts w:ascii="Times New Roman" w:hAnsi="Times New Roman" w:cs="Times New Roman"/>
        </w:rPr>
        <w:t>s</w:t>
      </w:r>
      <w:r w:rsidRPr="00DF2B53">
        <w:rPr>
          <w:rFonts w:ascii="Times New Roman" w:hAnsi="Times New Roman" w:cs="Times New Roman"/>
        </w:rPr>
        <w:t>oE</w:t>
      </w:r>
      <w:proofErr w:type="spellEnd"/>
      <w:r w:rsidRPr="00DF2B53">
        <w:rPr>
          <w:rFonts w:ascii="Times New Roman" w:hAnsi="Times New Roman" w:cs="Times New Roman"/>
        </w:rPr>
        <w:t xml:space="preserve"> declarations uncovers the lack of justifications for the patterns of simultaneous executive underreach and overreach, underscoring the elusiveness of these categories. The limited justifications for the decisions demonstrated by the ‘government in panic’ point to the undermining </w:t>
      </w:r>
      <w:r w:rsidR="00BD21B5">
        <w:rPr>
          <w:rFonts w:ascii="Times New Roman" w:hAnsi="Times New Roman" w:cs="Times New Roman"/>
        </w:rPr>
        <w:t xml:space="preserve">of </w:t>
      </w:r>
      <w:r w:rsidRPr="00DF2B53">
        <w:rPr>
          <w:rFonts w:ascii="Times New Roman" w:hAnsi="Times New Roman" w:cs="Times New Roman"/>
        </w:rPr>
        <w:t xml:space="preserve">the </w:t>
      </w:r>
      <w:proofErr w:type="spellStart"/>
      <w:r w:rsidRPr="00DF2B53">
        <w:rPr>
          <w:rFonts w:ascii="Times New Roman" w:hAnsi="Times New Roman" w:cs="Times New Roman"/>
        </w:rPr>
        <w:t>SsoE</w:t>
      </w:r>
      <w:proofErr w:type="spellEnd"/>
      <w:r w:rsidRPr="00DF2B53">
        <w:rPr>
          <w:rFonts w:ascii="Times New Roman" w:hAnsi="Times New Roman" w:cs="Times New Roman"/>
        </w:rPr>
        <w:t xml:space="preserve"> as a legal institution. The paper concludes with highlighting how leaders’ role conceptions as democratic emergency managers might be necessary to sustain the authority of the </w:t>
      </w:r>
      <w:proofErr w:type="spellStart"/>
      <w:r w:rsidRPr="00DF2B53">
        <w:rPr>
          <w:rFonts w:ascii="Times New Roman" w:hAnsi="Times New Roman" w:cs="Times New Roman"/>
        </w:rPr>
        <w:t>SsoE</w:t>
      </w:r>
      <w:proofErr w:type="spellEnd"/>
      <w:r w:rsidRPr="00DF2B53">
        <w:rPr>
          <w:rFonts w:ascii="Times New Roman" w:hAnsi="Times New Roman" w:cs="Times New Roman"/>
        </w:rPr>
        <w:t>.</w:t>
      </w:r>
    </w:p>
    <w:p w14:paraId="51692E2A" w14:textId="0355C1CF" w:rsidR="0053282B" w:rsidRPr="00DF2B53" w:rsidRDefault="0053282B" w:rsidP="003F7703">
      <w:pPr>
        <w:jc w:val="both"/>
        <w:rPr>
          <w:rFonts w:ascii="Times New Roman" w:hAnsi="Times New Roman" w:cs="Times New Roman"/>
        </w:rPr>
      </w:pPr>
      <w:r w:rsidRPr="00DF2B53">
        <w:rPr>
          <w:rFonts w:ascii="Times New Roman" w:hAnsi="Times New Roman" w:cs="Times New Roman"/>
          <w:i/>
          <w:iCs/>
        </w:rPr>
        <w:t xml:space="preserve">Keywords: </w:t>
      </w:r>
      <w:r w:rsidRPr="00DF2B53">
        <w:rPr>
          <w:rFonts w:ascii="Times New Roman" w:hAnsi="Times New Roman" w:cs="Times New Roman"/>
        </w:rPr>
        <w:t>states of emergency; executive overreach and executive underreach; COVID-19 pandemic; Slovakia; culture of justification</w:t>
      </w:r>
    </w:p>
    <w:p w14:paraId="02E20BE2" w14:textId="77777777" w:rsidR="00065CB2" w:rsidRPr="00DF2B53" w:rsidRDefault="00065CB2" w:rsidP="00427DC6">
      <w:pPr>
        <w:rPr>
          <w:rFonts w:ascii="Times New Roman" w:hAnsi="Times New Roman" w:cs="Times New Roman"/>
        </w:rPr>
      </w:pPr>
    </w:p>
    <w:p w14:paraId="59C0B43D" w14:textId="77777777" w:rsidR="009F794F" w:rsidRPr="009F794F" w:rsidRDefault="00B74D55" w:rsidP="009F794F">
      <w:pPr>
        <w:pStyle w:val="Heading2"/>
        <w:rPr>
          <w:rFonts w:ascii="Times New Roman" w:hAnsi="Times New Roman" w:cs="Times New Roman"/>
          <w:b/>
          <w:bCs/>
          <w:color w:val="auto"/>
          <w:sz w:val="24"/>
          <w:szCs w:val="24"/>
          <w:u w:val="single"/>
        </w:rPr>
      </w:pPr>
      <w:r w:rsidRPr="00DF2B53">
        <w:rPr>
          <w:rFonts w:ascii="Times New Roman" w:hAnsi="Times New Roman" w:cs="Times New Roman"/>
          <w:color w:val="auto"/>
          <w:sz w:val="24"/>
          <w:szCs w:val="24"/>
          <w:u w:val="single"/>
        </w:rPr>
        <w:t xml:space="preserve">I. </w:t>
      </w:r>
      <w:r w:rsidR="00862934" w:rsidRPr="009F794F">
        <w:rPr>
          <w:rFonts w:ascii="Times New Roman" w:hAnsi="Times New Roman" w:cs="Times New Roman"/>
          <w:color w:val="auto"/>
          <w:sz w:val="24"/>
          <w:szCs w:val="24"/>
          <w:u w:val="single"/>
        </w:rPr>
        <w:t>Introduction</w:t>
      </w:r>
      <w:r w:rsidR="009F794F" w:rsidRPr="00DC52BD">
        <w:rPr>
          <w:rStyle w:val="FootnoteReference"/>
        </w:rPr>
        <w:footnoteReference w:id="2"/>
      </w:r>
    </w:p>
    <w:p w14:paraId="6FFC7A83" w14:textId="2E90F545" w:rsidR="00E67F29" w:rsidRPr="00DF2B53" w:rsidRDefault="0085233A" w:rsidP="001C2959">
      <w:pPr>
        <w:jc w:val="both"/>
        <w:rPr>
          <w:rFonts w:ascii="Times New Roman" w:hAnsi="Times New Roman" w:cs="Times New Roman"/>
        </w:rPr>
      </w:pPr>
      <w:r>
        <w:rPr>
          <w:rFonts w:ascii="Times New Roman" w:hAnsi="Times New Roman" w:cs="Times New Roman"/>
        </w:rPr>
        <w:t>In</w:t>
      </w:r>
      <w:r w:rsidR="008C0DE4" w:rsidRPr="00DF2B53">
        <w:rPr>
          <w:rFonts w:ascii="Times New Roman" w:hAnsi="Times New Roman" w:cs="Times New Roman"/>
        </w:rPr>
        <w:t xml:space="preserve"> May 2023</w:t>
      </w:r>
      <w:r w:rsidR="00D302D3" w:rsidRPr="00DF2B53">
        <w:rPr>
          <w:rFonts w:ascii="Times New Roman" w:hAnsi="Times New Roman" w:cs="Times New Roman"/>
        </w:rPr>
        <w:t xml:space="preserve">, the WHO declared the end of the global health emergency triggered by the COVID-19 pandemic. </w:t>
      </w:r>
      <w:r w:rsidR="007B4088" w:rsidRPr="00DF2B53">
        <w:rPr>
          <w:rFonts w:ascii="Times New Roman" w:hAnsi="Times New Roman" w:cs="Times New Roman"/>
        </w:rPr>
        <w:t xml:space="preserve">The </w:t>
      </w:r>
      <w:r w:rsidR="00033CB6" w:rsidRPr="00DF2B53">
        <w:rPr>
          <w:rFonts w:ascii="Times New Roman" w:hAnsi="Times New Roman" w:cs="Times New Roman"/>
        </w:rPr>
        <w:t>emergency</w:t>
      </w:r>
      <w:r w:rsidR="004C074D" w:rsidRPr="00DF2B53">
        <w:rPr>
          <w:rFonts w:ascii="Times New Roman" w:hAnsi="Times New Roman" w:cs="Times New Roman"/>
        </w:rPr>
        <w:t xml:space="preserve"> is</w:t>
      </w:r>
      <w:r>
        <w:rPr>
          <w:rFonts w:ascii="Times New Roman" w:hAnsi="Times New Roman" w:cs="Times New Roman"/>
        </w:rPr>
        <w:t xml:space="preserve"> replaced by a</w:t>
      </w:r>
      <w:r w:rsidR="004C074D" w:rsidRPr="00DF2B53">
        <w:rPr>
          <w:rFonts w:ascii="Times New Roman" w:hAnsi="Times New Roman" w:cs="Times New Roman"/>
        </w:rPr>
        <w:t xml:space="preserve"> new </w:t>
      </w:r>
      <w:r>
        <w:rPr>
          <w:rFonts w:ascii="Times New Roman" w:hAnsi="Times New Roman" w:cs="Times New Roman"/>
        </w:rPr>
        <w:t>normality</w:t>
      </w:r>
      <w:r w:rsidR="004C074D" w:rsidRPr="00DF2B53">
        <w:rPr>
          <w:rFonts w:ascii="Times New Roman" w:hAnsi="Times New Roman" w:cs="Times New Roman"/>
        </w:rPr>
        <w:t>,</w:t>
      </w:r>
      <w:r w:rsidR="00F24299" w:rsidRPr="00DC52BD">
        <w:rPr>
          <w:rStyle w:val="FootnoteReference"/>
        </w:rPr>
        <w:footnoteReference w:id="3"/>
      </w:r>
      <w:r w:rsidR="004C074D" w:rsidRPr="00DF2B53">
        <w:rPr>
          <w:rFonts w:ascii="Times New Roman" w:hAnsi="Times New Roman" w:cs="Times New Roman"/>
        </w:rPr>
        <w:t xml:space="preserve"> with the disease </w:t>
      </w:r>
      <w:r w:rsidR="00091ABF" w:rsidRPr="00DF2B53">
        <w:rPr>
          <w:rFonts w:ascii="Times New Roman" w:hAnsi="Times New Roman" w:cs="Times New Roman"/>
        </w:rPr>
        <w:t>continuing to claim lives</w:t>
      </w:r>
      <w:r w:rsidR="004C074D" w:rsidRPr="00DF2B53">
        <w:rPr>
          <w:rFonts w:ascii="Times New Roman" w:hAnsi="Times New Roman" w:cs="Times New Roman"/>
        </w:rPr>
        <w:t>.</w:t>
      </w:r>
      <w:r w:rsidR="00E40E0D" w:rsidRPr="00DF2B53">
        <w:rPr>
          <w:rFonts w:ascii="Times New Roman" w:hAnsi="Times New Roman" w:cs="Times New Roman"/>
        </w:rPr>
        <w:t xml:space="preserve"> The </w:t>
      </w:r>
      <w:r w:rsidR="007749A8" w:rsidRPr="00DF2B53">
        <w:rPr>
          <w:rFonts w:ascii="Times New Roman" w:hAnsi="Times New Roman" w:cs="Times New Roman"/>
        </w:rPr>
        <w:t xml:space="preserve">tragedies </w:t>
      </w:r>
      <w:r w:rsidR="00890D6B">
        <w:rPr>
          <w:rFonts w:ascii="Times New Roman" w:hAnsi="Times New Roman" w:cs="Times New Roman"/>
        </w:rPr>
        <w:t>caused</w:t>
      </w:r>
      <w:r w:rsidR="007749A8" w:rsidRPr="00DF2B53">
        <w:rPr>
          <w:rFonts w:ascii="Times New Roman" w:hAnsi="Times New Roman" w:cs="Times New Roman"/>
        </w:rPr>
        <w:t xml:space="preserve"> by the pandemic underscore </w:t>
      </w:r>
      <w:r w:rsidR="005F2AB8" w:rsidRPr="00DF2B53">
        <w:rPr>
          <w:rFonts w:ascii="Times New Roman" w:hAnsi="Times New Roman" w:cs="Times New Roman"/>
        </w:rPr>
        <w:t xml:space="preserve">the need to </w:t>
      </w:r>
      <w:r w:rsidR="005C5C33" w:rsidRPr="00DF2B53">
        <w:rPr>
          <w:rFonts w:ascii="Times New Roman" w:hAnsi="Times New Roman" w:cs="Times New Roman"/>
        </w:rPr>
        <w:t xml:space="preserve">improve </w:t>
      </w:r>
      <w:r w:rsidR="00305681" w:rsidRPr="00DF2B53">
        <w:rPr>
          <w:rFonts w:ascii="Times New Roman" w:hAnsi="Times New Roman" w:cs="Times New Roman"/>
        </w:rPr>
        <w:t xml:space="preserve">governing </w:t>
      </w:r>
      <w:proofErr w:type="gramStart"/>
      <w:r w:rsidR="00305681" w:rsidRPr="00DF2B53">
        <w:rPr>
          <w:rFonts w:ascii="Times New Roman" w:hAnsi="Times New Roman" w:cs="Times New Roman"/>
        </w:rPr>
        <w:t>institutions</w:t>
      </w:r>
      <w:r w:rsidR="00890D6B">
        <w:rPr>
          <w:rFonts w:ascii="Times New Roman" w:hAnsi="Times New Roman" w:cs="Times New Roman"/>
        </w:rPr>
        <w:t>’</w:t>
      </w:r>
      <w:proofErr w:type="gramEnd"/>
      <w:r w:rsidR="00305681" w:rsidRPr="00DF2B53">
        <w:rPr>
          <w:rFonts w:ascii="Times New Roman" w:hAnsi="Times New Roman" w:cs="Times New Roman"/>
        </w:rPr>
        <w:t xml:space="preserve"> and actors</w:t>
      </w:r>
      <w:r w:rsidR="00890D6B">
        <w:rPr>
          <w:rFonts w:ascii="Times New Roman" w:hAnsi="Times New Roman" w:cs="Times New Roman"/>
        </w:rPr>
        <w:t xml:space="preserve">’ </w:t>
      </w:r>
      <w:r w:rsidR="00890D6B" w:rsidRPr="00DF2B53">
        <w:rPr>
          <w:rFonts w:ascii="Times New Roman" w:hAnsi="Times New Roman" w:cs="Times New Roman"/>
        </w:rPr>
        <w:t>risk</w:t>
      </w:r>
      <w:r w:rsidR="00890D6B">
        <w:rPr>
          <w:rFonts w:ascii="Times New Roman" w:hAnsi="Times New Roman" w:cs="Times New Roman"/>
        </w:rPr>
        <w:t>-</w:t>
      </w:r>
      <w:r w:rsidR="00890D6B" w:rsidRPr="00DF2B53">
        <w:rPr>
          <w:rFonts w:ascii="Times New Roman" w:hAnsi="Times New Roman" w:cs="Times New Roman"/>
        </w:rPr>
        <w:t>preparedness</w:t>
      </w:r>
      <w:r w:rsidR="007D5F07" w:rsidRPr="00DF2B53">
        <w:rPr>
          <w:rFonts w:ascii="Times New Roman" w:hAnsi="Times New Roman" w:cs="Times New Roman"/>
        </w:rPr>
        <w:t>.</w:t>
      </w:r>
      <w:r w:rsidR="006F71F3" w:rsidRPr="00DC52BD">
        <w:rPr>
          <w:rStyle w:val="FootnoteReference"/>
        </w:rPr>
        <w:footnoteReference w:id="4"/>
      </w:r>
      <w:r w:rsidR="007D5F07" w:rsidRPr="00DF2B53">
        <w:rPr>
          <w:rFonts w:ascii="Times New Roman" w:hAnsi="Times New Roman" w:cs="Times New Roman"/>
        </w:rPr>
        <w:t xml:space="preserve"> </w:t>
      </w:r>
      <w:r w:rsidR="00305681" w:rsidRPr="00DF2B53">
        <w:rPr>
          <w:rFonts w:ascii="Times New Roman" w:hAnsi="Times New Roman" w:cs="Times New Roman"/>
        </w:rPr>
        <w:t>Yet, even with the data and experiences generated by the pandemic, a blueprint</w:t>
      </w:r>
      <w:r w:rsidR="00967E73" w:rsidRPr="00DF2B53">
        <w:rPr>
          <w:rFonts w:ascii="Times New Roman" w:hAnsi="Times New Roman" w:cs="Times New Roman"/>
        </w:rPr>
        <w:t xml:space="preserve"> </w:t>
      </w:r>
      <w:r w:rsidR="00305681" w:rsidRPr="00DF2B53">
        <w:rPr>
          <w:rFonts w:ascii="Times New Roman" w:hAnsi="Times New Roman" w:cs="Times New Roman"/>
        </w:rPr>
        <w:t xml:space="preserve">for </w:t>
      </w:r>
      <w:r w:rsidR="00775EDD" w:rsidRPr="00DF2B53">
        <w:rPr>
          <w:rFonts w:ascii="Times New Roman" w:hAnsi="Times New Roman" w:cs="Times New Roman"/>
        </w:rPr>
        <w:t>political leaders</w:t>
      </w:r>
      <w:r w:rsidR="00305681" w:rsidRPr="00DF2B53">
        <w:rPr>
          <w:rFonts w:ascii="Times New Roman" w:hAnsi="Times New Roman" w:cs="Times New Roman"/>
        </w:rPr>
        <w:t xml:space="preserve">’ </w:t>
      </w:r>
      <w:r w:rsidR="00775EDD" w:rsidRPr="00DF2B53">
        <w:rPr>
          <w:rFonts w:ascii="Times New Roman" w:hAnsi="Times New Roman" w:cs="Times New Roman"/>
        </w:rPr>
        <w:t>use</w:t>
      </w:r>
      <w:r w:rsidR="00305681" w:rsidRPr="00DF2B53">
        <w:rPr>
          <w:rFonts w:ascii="Times New Roman" w:hAnsi="Times New Roman" w:cs="Times New Roman"/>
        </w:rPr>
        <w:t xml:space="preserve"> of</w:t>
      </w:r>
      <w:r w:rsidR="00775EDD" w:rsidRPr="00DF2B53">
        <w:rPr>
          <w:rFonts w:ascii="Times New Roman" w:hAnsi="Times New Roman" w:cs="Times New Roman"/>
        </w:rPr>
        <w:t xml:space="preserve"> formal powers to reduce the harms created by an invisible virus</w:t>
      </w:r>
      <w:r w:rsidR="00107E27" w:rsidRPr="00DF2B53">
        <w:rPr>
          <w:rFonts w:ascii="Times New Roman" w:hAnsi="Times New Roman" w:cs="Times New Roman"/>
        </w:rPr>
        <w:t xml:space="preserve"> is missing.</w:t>
      </w:r>
      <w:r w:rsidR="00BB1B50" w:rsidRPr="00DC52BD">
        <w:rPr>
          <w:rStyle w:val="FootnoteReference"/>
        </w:rPr>
        <w:footnoteReference w:id="5"/>
      </w:r>
      <w:r w:rsidR="00775EDD" w:rsidRPr="00DF2B53">
        <w:rPr>
          <w:rFonts w:ascii="Times New Roman" w:hAnsi="Times New Roman" w:cs="Times New Roman"/>
        </w:rPr>
        <w:t xml:space="preserve"> </w:t>
      </w:r>
    </w:p>
    <w:p w14:paraId="5CEC4A74" w14:textId="77777777" w:rsidR="0061520B" w:rsidRPr="00DF2B53" w:rsidRDefault="0061520B" w:rsidP="001C2959">
      <w:pPr>
        <w:jc w:val="both"/>
        <w:rPr>
          <w:rFonts w:ascii="Times New Roman" w:hAnsi="Times New Roman" w:cs="Times New Roman"/>
        </w:rPr>
      </w:pPr>
    </w:p>
    <w:p w14:paraId="175E7CF8" w14:textId="355AF73E" w:rsidR="00F80454" w:rsidRPr="00DF2B53" w:rsidRDefault="00E67F29" w:rsidP="001C2959">
      <w:pPr>
        <w:jc w:val="both"/>
        <w:rPr>
          <w:rFonts w:ascii="Times New Roman" w:hAnsi="Times New Roman" w:cs="Times New Roman"/>
        </w:rPr>
      </w:pPr>
      <w:r w:rsidRPr="00DF2B53">
        <w:rPr>
          <w:rFonts w:ascii="Times New Roman" w:hAnsi="Times New Roman" w:cs="Times New Roman"/>
        </w:rPr>
        <w:lastRenderedPageBreak/>
        <w:t>(Positive) l</w:t>
      </w:r>
      <w:r w:rsidR="00107E27" w:rsidRPr="00DF2B53">
        <w:rPr>
          <w:rFonts w:ascii="Times New Roman" w:hAnsi="Times New Roman" w:cs="Times New Roman"/>
        </w:rPr>
        <w:t xml:space="preserve">aw, </w:t>
      </w:r>
      <w:r w:rsidR="000F1699">
        <w:rPr>
          <w:rFonts w:ascii="Times New Roman" w:hAnsi="Times New Roman" w:cs="Times New Roman"/>
        </w:rPr>
        <w:t xml:space="preserve">despite being </w:t>
      </w:r>
      <w:r w:rsidR="00F4478A" w:rsidRPr="00DF2B53">
        <w:rPr>
          <w:rFonts w:ascii="Times New Roman" w:hAnsi="Times New Roman" w:cs="Times New Roman"/>
        </w:rPr>
        <w:t>one of the ‘most important nonpharmaceutical treatments’</w:t>
      </w:r>
      <w:r w:rsidR="00151395" w:rsidRPr="00DC52BD">
        <w:rPr>
          <w:rStyle w:val="FootnoteReference"/>
        </w:rPr>
        <w:footnoteReference w:id="6"/>
      </w:r>
      <w:r w:rsidRPr="00DF2B53">
        <w:rPr>
          <w:rFonts w:ascii="Times New Roman" w:hAnsi="Times New Roman" w:cs="Times New Roman"/>
        </w:rPr>
        <w:t xml:space="preserve"> </w:t>
      </w:r>
      <w:r w:rsidR="005B5F9B">
        <w:rPr>
          <w:rFonts w:ascii="Times New Roman" w:hAnsi="Times New Roman" w:cs="Times New Roman"/>
        </w:rPr>
        <w:t xml:space="preserve">of the pandemic </w:t>
      </w:r>
      <w:r w:rsidR="00EA556B" w:rsidRPr="00DF2B53">
        <w:rPr>
          <w:rFonts w:ascii="Times New Roman" w:hAnsi="Times New Roman" w:cs="Times New Roman"/>
        </w:rPr>
        <w:t>does not provide such a blueprint</w:t>
      </w:r>
      <w:r w:rsidR="00165D61" w:rsidRPr="00DF2B53">
        <w:rPr>
          <w:rFonts w:ascii="Times New Roman" w:hAnsi="Times New Roman" w:cs="Times New Roman"/>
        </w:rPr>
        <w:t xml:space="preserve">, </w:t>
      </w:r>
      <w:r w:rsidR="00F656DE" w:rsidRPr="00DF2B53">
        <w:rPr>
          <w:rFonts w:ascii="Times New Roman" w:hAnsi="Times New Roman" w:cs="Times New Roman"/>
        </w:rPr>
        <w:t xml:space="preserve">because its provisions are </w:t>
      </w:r>
      <w:r w:rsidR="000F1699">
        <w:rPr>
          <w:rFonts w:ascii="Times New Roman" w:hAnsi="Times New Roman" w:cs="Times New Roman"/>
        </w:rPr>
        <w:t>contested</w:t>
      </w:r>
      <w:r w:rsidR="00F4478A" w:rsidRPr="00DF2B53">
        <w:rPr>
          <w:rFonts w:ascii="Times New Roman" w:hAnsi="Times New Roman" w:cs="Times New Roman"/>
        </w:rPr>
        <w:t>.</w:t>
      </w:r>
      <w:r w:rsidR="00033410" w:rsidRPr="00DC52BD">
        <w:rPr>
          <w:rStyle w:val="FootnoteReference"/>
        </w:rPr>
        <w:footnoteReference w:id="7"/>
      </w:r>
      <w:r w:rsidR="00F4478A" w:rsidRPr="00DF2B53">
        <w:rPr>
          <w:rFonts w:ascii="Times New Roman" w:hAnsi="Times New Roman" w:cs="Times New Roman"/>
        </w:rPr>
        <w:t xml:space="preserve"> </w:t>
      </w:r>
      <w:r w:rsidR="00165D61" w:rsidRPr="00DF2B53">
        <w:rPr>
          <w:rFonts w:ascii="Times New Roman" w:hAnsi="Times New Roman" w:cs="Times New Roman"/>
        </w:rPr>
        <w:t xml:space="preserve">One of the </w:t>
      </w:r>
      <w:r w:rsidR="00EB5DED" w:rsidRPr="00DF2B53">
        <w:rPr>
          <w:rFonts w:ascii="Times New Roman" w:hAnsi="Times New Roman" w:cs="Times New Roman"/>
        </w:rPr>
        <w:t>positive law</w:t>
      </w:r>
      <w:r w:rsidR="00165D61" w:rsidRPr="00DF2B53">
        <w:rPr>
          <w:rFonts w:ascii="Times New Roman" w:hAnsi="Times New Roman" w:cs="Times New Roman"/>
        </w:rPr>
        <w:t xml:space="preserve"> measures invoked </w:t>
      </w:r>
      <w:r w:rsidR="000F1699">
        <w:rPr>
          <w:rFonts w:ascii="Times New Roman" w:hAnsi="Times New Roman" w:cs="Times New Roman"/>
        </w:rPr>
        <w:t>in response to</w:t>
      </w:r>
      <w:r w:rsidR="00165D61" w:rsidRPr="00DF2B53">
        <w:rPr>
          <w:rFonts w:ascii="Times New Roman" w:hAnsi="Times New Roman" w:cs="Times New Roman"/>
        </w:rPr>
        <w:t xml:space="preserve"> the pandemic have been states of emergency</w:t>
      </w:r>
      <w:r w:rsidR="00B05505" w:rsidRPr="00DF2B53">
        <w:rPr>
          <w:rFonts w:ascii="Times New Roman" w:hAnsi="Times New Roman" w:cs="Times New Roman"/>
        </w:rPr>
        <w:t xml:space="preserve"> (</w:t>
      </w:r>
      <w:proofErr w:type="spellStart"/>
      <w:r w:rsidR="00B05505" w:rsidRPr="00DF2B53">
        <w:rPr>
          <w:rFonts w:ascii="Times New Roman" w:hAnsi="Times New Roman" w:cs="Times New Roman"/>
        </w:rPr>
        <w:t>SsoE</w:t>
      </w:r>
      <w:proofErr w:type="spellEnd"/>
      <w:r w:rsidR="00B05505" w:rsidRPr="00DF2B53">
        <w:rPr>
          <w:rFonts w:ascii="Times New Roman" w:hAnsi="Times New Roman" w:cs="Times New Roman"/>
        </w:rPr>
        <w:t>)</w:t>
      </w:r>
      <w:r w:rsidR="000F70E2" w:rsidRPr="00DF2B53">
        <w:rPr>
          <w:rFonts w:ascii="Times New Roman" w:hAnsi="Times New Roman" w:cs="Times New Roman"/>
        </w:rPr>
        <w:t xml:space="preserve">. As all major legal institutions, </w:t>
      </w:r>
      <w:proofErr w:type="spellStart"/>
      <w:r w:rsidR="00F41B6B">
        <w:rPr>
          <w:rFonts w:ascii="Times New Roman" w:hAnsi="Times New Roman" w:cs="Times New Roman"/>
        </w:rPr>
        <w:t>SsoE</w:t>
      </w:r>
      <w:proofErr w:type="spellEnd"/>
      <w:r w:rsidR="00F41B6B">
        <w:rPr>
          <w:rFonts w:ascii="Times New Roman" w:hAnsi="Times New Roman" w:cs="Times New Roman"/>
        </w:rPr>
        <w:t xml:space="preserve"> carry</w:t>
      </w:r>
      <w:r w:rsidR="000F70E2" w:rsidRPr="00DF2B53">
        <w:rPr>
          <w:rFonts w:ascii="Times New Roman" w:hAnsi="Times New Roman" w:cs="Times New Roman"/>
        </w:rPr>
        <w:t xml:space="preserve"> a</w:t>
      </w:r>
      <w:r w:rsidR="00B2666A" w:rsidRPr="00DF2B53">
        <w:rPr>
          <w:rFonts w:ascii="Times New Roman" w:hAnsi="Times New Roman" w:cs="Times New Roman"/>
        </w:rPr>
        <w:t xml:space="preserve"> ‘communicative’</w:t>
      </w:r>
      <w:r w:rsidR="00557274" w:rsidRPr="00DC52BD">
        <w:rPr>
          <w:rStyle w:val="FootnoteReference"/>
        </w:rPr>
        <w:footnoteReference w:id="8"/>
      </w:r>
      <w:r w:rsidR="00B2666A" w:rsidRPr="00DF2B53">
        <w:rPr>
          <w:rFonts w:ascii="Times New Roman" w:hAnsi="Times New Roman" w:cs="Times New Roman"/>
        </w:rPr>
        <w:t xml:space="preserve"> or </w:t>
      </w:r>
      <w:r w:rsidR="000F70E2" w:rsidRPr="00DF2B53">
        <w:rPr>
          <w:rFonts w:ascii="Times New Roman" w:hAnsi="Times New Roman" w:cs="Times New Roman"/>
        </w:rPr>
        <w:t>‘symbolic</w:t>
      </w:r>
      <w:r w:rsidR="00B2666A" w:rsidRPr="00DF2B53">
        <w:rPr>
          <w:rFonts w:ascii="Times New Roman" w:hAnsi="Times New Roman" w:cs="Times New Roman"/>
        </w:rPr>
        <w:t>’ dimension</w:t>
      </w:r>
      <w:r w:rsidR="000F70E2" w:rsidRPr="00DF2B53">
        <w:rPr>
          <w:rFonts w:ascii="Times New Roman" w:hAnsi="Times New Roman" w:cs="Times New Roman"/>
        </w:rPr>
        <w:t xml:space="preserve">, pointing to the urgent need to </w:t>
      </w:r>
      <w:r w:rsidR="00F41B6B">
        <w:rPr>
          <w:rFonts w:ascii="Times New Roman" w:hAnsi="Times New Roman" w:cs="Times New Roman"/>
        </w:rPr>
        <w:t>act</w:t>
      </w:r>
      <w:r w:rsidR="00352FB4" w:rsidRPr="00DC52BD">
        <w:rPr>
          <w:rStyle w:val="FootnoteReference"/>
        </w:rPr>
        <w:footnoteReference w:id="9"/>
      </w:r>
      <w:r w:rsidR="000F70E2" w:rsidRPr="00DF2B53">
        <w:rPr>
          <w:rFonts w:ascii="Times New Roman" w:hAnsi="Times New Roman" w:cs="Times New Roman"/>
        </w:rPr>
        <w:t xml:space="preserve"> </w:t>
      </w:r>
      <w:r w:rsidR="00352FB4" w:rsidRPr="00DF2B53">
        <w:rPr>
          <w:rFonts w:ascii="Times New Roman" w:hAnsi="Times New Roman" w:cs="Times New Roman"/>
        </w:rPr>
        <w:t xml:space="preserve">despite the discomfort that </w:t>
      </w:r>
      <w:r w:rsidR="00B64C2D">
        <w:rPr>
          <w:rFonts w:ascii="Times New Roman" w:hAnsi="Times New Roman" w:cs="Times New Roman"/>
        </w:rPr>
        <w:t>it</w:t>
      </w:r>
      <w:r w:rsidR="00352FB4" w:rsidRPr="00DF2B53">
        <w:rPr>
          <w:rFonts w:ascii="Times New Roman" w:hAnsi="Times New Roman" w:cs="Times New Roman"/>
        </w:rPr>
        <w:t xml:space="preserve"> might trigger.</w:t>
      </w:r>
      <w:r w:rsidR="007857D7" w:rsidRPr="00DF2B53">
        <w:rPr>
          <w:rFonts w:ascii="Times New Roman" w:hAnsi="Times New Roman" w:cs="Times New Roman"/>
        </w:rPr>
        <w:t xml:space="preserve"> </w:t>
      </w:r>
      <w:proofErr w:type="spellStart"/>
      <w:r w:rsidR="0007159F" w:rsidRPr="00DF2B53">
        <w:rPr>
          <w:rFonts w:ascii="Times New Roman" w:hAnsi="Times New Roman" w:cs="Times New Roman"/>
        </w:rPr>
        <w:t>SsoE</w:t>
      </w:r>
      <w:proofErr w:type="spellEnd"/>
      <w:r w:rsidR="009D532F" w:rsidRPr="00DF2B53">
        <w:rPr>
          <w:rFonts w:ascii="Times New Roman" w:hAnsi="Times New Roman" w:cs="Times New Roman"/>
        </w:rPr>
        <w:t xml:space="preserve"> could have been </w:t>
      </w:r>
      <w:r w:rsidR="002B0677" w:rsidRPr="00DF2B53">
        <w:rPr>
          <w:rFonts w:ascii="Times New Roman" w:hAnsi="Times New Roman" w:cs="Times New Roman"/>
        </w:rPr>
        <w:t xml:space="preserve">observed </w:t>
      </w:r>
      <w:r w:rsidR="00B64C2D">
        <w:rPr>
          <w:rFonts w:ascii="Times New Roman" w:hAnsi="Times New Roman" w:cs="Times New Roman"/>
        </w:rPr>
        <w:t>in various regime types</w:t>
      </w:r>
      <w:r w:rsidR="002B0677" w:rsidRPr="00DF2B53">
        <w:rPr>
          <w:rFonts w:ascii="Times New Roman" w:hAnsi="Times New Roman" w:cs="Times New Roman"/>
        </w:rPr>
        <w:t>, ‘illustrating the surface similarities between emergency measures imposed across different regimes.’</w:t>
      </w:r>
      <w:r w:rsidR="002B0677" w:rsidRPr="00DC52BD">
        <w:rPr>
          <w:rStyle w:val="FootnoteReference"/>
        </w:rPr>
        <w:footnoteReference w:id="10"/>
      </w:r>
      <w:r w:rsidR="002B0677" w:rsidRPr="00DF2B53">
        <w:rPr>
          <w:rFonts w:ascii="Times New Roman" w:hAnsi="Times New Roman" w:cs="Times New Roman"/>
        </w:rPr>
        <w:t xml:space="preserve"> </w:t>
      </w:r>
      <w:r w:rsidR="0007159F" w:rsidRPr="00DF2B53">
        <w:rPr>
          <w:rFonts w:ascii="Times New Roman" w:hAnsi="Times New Roman" w:cs="Times New Roman"/>
        </w:rPr>
        <w:t>They have</w:t>
      </w:r>
      <w:r w:rsidR="00A201B7" w:rsidRPr="00DF2B53">
        <w:rPr>
          <w:rFonts w:ascii="Times New Roman" w:hAnsi="Times New Roman" w:cs="Times New Roman"/>
        </w:rPr>
        <w:t xml:space="preserve"> </w:t>
      </w:r>
      <w:r w:rsidR="0007159F" w:rsidRPr="00DF2B53">
        <w:rPr>
          <w:rFonts w:ascii="Times New Roman" w:hAnsi="Times New Roman" w:cs="Times New Roman"/>
        </w:rPr>
        <w:t>been</w:t>
      </w:r>
      <w:r w:rsidR="00A201B7" w:rsidRPr="00DF2B53">
        <w:rPr>
          <w:rFonts w:ascii="Times New Roman" w:hAnsi="Times New Roman" w:cs="Times New Roman"/>
        </w:rPr>
        <w:t xml:space="preserve"> defended as </w:t>
      </w:r>
      <w:r w:rsidR="00CA6FFC" w:rsidRPr="00DF2B53">
        <w:rPr>
          <w:rFonts w:ascii="Times New Roman" w:hAnsi="Times New Roman" w:cs="Times New Roman"/>
        </w:rPr>
        <w:t>enabl</w:t>
      </w:r>
      <w:r w:rsidR="00AC5813">
        <w:rPr>
          <w:rFonts w:ascii="Times New Roman" w:hAnsi="Times New Roman" w:cs="Times New Roman"/>
        </w:rPr>
        <w:t>ing</w:t>
      </w:r>
      <w:r w:rsidR="00CA6FFC" w:rsidRPr="00DF2B53">
        <w:rPr>
          <w:rFonts w:ascii="Times New Roman" w:hAnsi="Times New Roman" w:cs="Times New Roman"/>
        </w:rPr>
        <w:t xml:space="preserve"> the government </w:t>
      </w:r>
      <w:r w:rsidR="00AC5813" w:rsidRPr="00DF2B53">
        <w:rPr>
          <w:rFonts w:ascii="Times New Roman" w:hAnsi="Times New Roman" w:cs="Times New Roman"/>
        </w:rPr>
        <w:t xml:space="preserve">temporarily </w:t>
      </w:r>
      <w:r w:rsidR="00CA6FFC" w:rsidRPr="00DF2B53">
        <w:rPr>
          <w:rFonts w:ascii="Times New Roman" w:hAnsi="Times New Roman" w:cs="Times New Roman"/>
        </w:rPr>
        <w:t xml:space="preserve">to take </w:t>
      </w:r>
      <w:r w:rsidR="005C52D5" w:rsidRPr="00DF2B53">
        <w:rPr>
          <w:rFonts w:ascii="Times New Roman" w:hAnsi="Times New Roman" w:cs="Times New Roman"/>
        </w:rPr>
        <w:t>prompt action</w:t>
      </w:r>
      <w:r w:rsidR="0071665B">
        <w:rPr>
          <w:rFonts w:ascii="Times New Roman" w:hAnsi="Times New Roman" w:cs="Times New Roman"/>
        </w:rPr>
        <w:t>.</w:t>
      </w:r>
      <w:r w:rsidR="008D3596" w:rsidRPr="00DC52BD">
        <w:rPr>
          <w:rStyle w:val="FootnoteReference"/>
        </w:rPr>
        <w:footnoteReference w:id="11"/>
      </w:r>
      <w:r w:rsidR="008D3596" w:rsidRPr="00DF2B53">
        <w:rPr>
          <w:rFonts w:ascii="Times New Roman" w:hAnsi="Times New Roman" w:cs="Times New Roman"/>
        </w:rPr>
        <w:t xml:space="preserve"> </w:t>
      </w:r>
      <w:r w:rsidR="0071665B">
        <w:rPr>
          <w:rFonts w:ascii="Times New Roman" w:hAnsi="Times New Roman" w:cs="Times New Roman"/>
        </w:rPr>
        <w:t xml:space="preserve">Yet, </w:t>
      </w:r>
      <w:r w:rsidR="008D3596" w:rsidRPr="00DF2B53">
        <w:rPr>
          <w:rFonts w:ascii="Times New Roman" w:hAnsi="Times New Roman" w:cs="Times New Roman"/>
        </w:rPr>
        <w:t>the risks of misuse have been articulated with equal frequency</w:t>
      </w:r>
      <w:r w:rsidR="00A47B51" w:rsidRPr="00DF2B53">
        <w:rPr>
          <w:rFonts w:ascii="Times New Roman" w:hAnsi="Times New Roman" w:cs="Times New Roman"/>
        </w:rPr>
        <w:t xml:space="preserve"> and even deemed inevitabl</w:t>
      </w:r>
      <w:r w:rsidR="00FC45B7" w:rsidRPr="00DF2B53">
        <w:rPr>
          <w:rFonts w:ascii="Times New Roman" w:hAnsi="Times New Roman" w:cs="Times New Roman"/>
        </w:rPr>
        <w:t>e,</w:t>
      </w:r>
      <w:r w:rsidR="00D21E6A" w:rsidRPr="00DC52BD">
        <w:rPr>
          <w:rStyle w:val="FootnoteReference"/>
        </w:rPr>
        <w:footnoteReference w:id="12"/>
      </w:r>
      <w:r w:rsidR="00FC45B7" w:rsidRPr="00DF2B53">
        <w:rPr>
          <w:rFonts w:ascii="Times New Roman" w:hAnsi="Times New Roman" w:cs="Times New Roman"/>
        </w:rPr>
        <w:t xml:space="preserve"> not least due to</w:t>
      </w:r>
      <w:r w:rsidR="002D5190" w:rsidRPr="00DF2B53">
        <w:rPr>
          <w:rFonts w:ascii="Times New Roman" w:hAnsi="Times New Roman" w:cs="Times New Roman"/>
        </w:rPr>
        <w:t xml:space="preserve"> increased proneness towards othering</w:t>
      </w:r>
      <w:r w:rsidR="00DA692E" w:rsidRPr="00DC52BD">
        <w:rPr>
          <w:rStyle w:val="FootnoteReference"/>
        </w:rPr>
        <w:footnoteReference w:id="13"/>
      </w:r>
      <w:r w:rsidR="002D5190" w:rsidRPr="00DF2B53">
        <w:rPr>
          <w:rFonts w:ascii="Times New Roman" w:hAnsi="Times New Roman" w:cs="Times New Roman"/>
        </w:rPr>
        <w:t xml:space="preserve"> and blame </w:t>
      </w:r>
      <w:r w:rsidR="0071665B">
        <w:rPr>
          <w:rFonts w:ascii="Times New Roman" w:hAnsi="Times New Roman" w:cs="Times New Roman"/>
        </w:rPr>
        <w:t xml:space="preserve">attribution </w:t>
      </w:r>
      <w:r w:rsidR="002D5190" w:rsidRPr="00DF2B53">
        <w:rPr>
          <w:rFonts w:ascii="Times New Roman" w:hAnsi="Times New Roman" w:cs="Times New Roman"/>
        </w:rPr>
        <w:t>to vulnerable segments of the population.</w:t>
      </w:r>
      <w:r w:rsidR="00144411" w:rsidRPr="00DC52BD">
        <w:rPr>
          <w:rStyle w:val="FootnoteReference"/>
        </w:rPr>
        <w:footnoteReference w:id="14"/>
      </w:r>
      <w:r w:rsidR="00871819" w:rsidRPr="00DF2B53">
        <w:rPr>
          <w:rFonts w:ascii="Times New Roman" w:hAnsi="Times New Roman" w:cs="Times New Roman"/>
        </w:rPr>
        <w:t xml:space="preserve"> </w:t>
      </w:r>
      <w:r w:rsidR="000550FB" w:rsidRPr="00DF2B53">
        <w:rPr>
          <w:rFonts w:ascii="Times New Roman" w:hAnsi="Times New Roman" w:cs="Times New Roman"/>
        </w:rPr>
        <w:t>F</w:t>
      </w:r>
      <w:r w:rsidR="00E31009" w:rsidRPr="00DF2B53">
        <w:rPr>
          <w:rFonts w:ascii="Times New Roman" w:hAnsi="Times New Roman" w:cs="Times New Roman"/>
        </w:rPr>
        <w:t xml:space="preserve">or some political leaders, the decision to declare </w:t>
      </w:r>
      <w:proofErr w:type="spellStart"/>
      <w:r w:rsidR="00E31009" w:rsidRPr="00DF2B53">
        <w:rPr>
          <w:rFonts w:ascii="Times New Roman" w:hAnsi="Times New Roman" w:cs="Times New Roman"/>
        </w:rPr>
        <w:t>S</w:t>
      </w:r>
      <w:r w:rsidR="00201D56" w:rsidRPr="00DF2B53">
        <w:rPr>
          <w:rFonts w:ascii="Times New Roman" w:hAnsi="Times New Roman" w:cs="Times New Roman"/>
        </w:rPr>
        <w:t>s</w:t>
      </w:r>
      <w:r w:rsidR="00E31009" w:rsidRPr="00DF2B53">
        <w:rPr>
          <w:rFonts w:ascii="Times New Roman" w:hAnsi="Times New Roman" w:cs="Times New Roman"/>
        </w:rPr>
        <w:t>oE</w:t>
      </w:r>
      <w:proofErr w:type="spellEnd"/>
      <w:r w:rsidR="00E31009" w:rsidRPr="00DF2B53">
        <w:rPr>
          <w:rFonts w:ascii="Times New Roman" w:hAnsi="Times New Roman" w:cs="Times New Roman"/>
        </w:rPr>
        <w:t xml:space="preserve"> in the COVID-19 context was driven </w:t>
      </w:r>
      <w:r w:rsidR="000550FB" w:rsidRPr="00DF2B53">
        <w:rPr>
          <w:rFonts w:ascii="Times New Roman" w:hAnsi="Times New Roman" w:cs="Times New Roman"/>
        </w:rPr>
        <w:t>more by ‘political attractiveness of gaining substantial discretionary power’ than by the effort to address the causes of the emergency.</w:t>
      </w:r>
      <w:r w:rsidR="00E31009" w:rsidRPr="00DC52BD">
        <w:rPr>
          <w:rStyle w:val="FootnoteReference"/>
        </w:rPr>
        <w:footnoteReference w:id="15"/>
      </w:r>
      <w:r w:rsidR="000550FB" w:rsidRPr="00DF2B53">
        <w:rPr>
          <w:rFonts w:ascii="Times New Roman" w:hAnsi="Times New Roman" w:cs="Times New Roman"/>
        </w:rPr>
        <w:t xml:space="preserve"> </w:t>
      </w:r>
      <w:r w:rsidR="009E225C" w:rsidRPr="00DF2B53">
        <w:rPr>
          <w:rFonts w:ascii="Times New Roman" w:hAnsi="Times New Roman" w:cs="Times New Roman"/>
        </w:rPr>
        <w:t xml:space="preserve">In other words, </w:t>
      </w:r>
      <w:proofErr w:type="spellStart"/>
      <w:r w:rsidR="009E225C" w:rsidRPr="00DF2B53">
        <w:rPr>
          <w:rFonts w:ascii="Times New Roman" w:hAnsi="Times New Roman" w:cs="Times New Roman"/>
        </w:rPr>
        <w:t>S</w:t>
      </w:r>
      <w:r w:rsidR="00201D56" w:rsidRPr="00DF2B53">
        <w:rPr>
          <w:rFonts w:ascii="Times New Roman" w:hAnsi="Times New Roman" w:cs="Times New Roman"/>
        </w:rPr>
        <w:t>s</w:t>
      </w:r>
      <w:r w:rsidR="009E225C" w:rsidRPr="00DF2B53">
        <w:rPr>
          <w:rFonts w:ascii="Times New Roman" w:hAnsi="Times New Roman" w:cs="Times New Roman"/>
        </w:rPr>
        <w:t>oE</w:t>
      </w:r>
      <w:proofErr w:type="spellEnd"/>
      <w:r w:rsidR="009E225C" w:rsidRPr="00DF2B53">
        <w:rPr>
          <w:rFonts w:ascii="Times New Roman" w:hAnsi="Times New Roman" w:cs="Times New Roman"/>
        </w:rPr>
        <w:t xml:space="preserve"> may be abused by illiberal leaders who intend to attain power and escape accountability, via centrali</w:t>
      </w:r>
      <w:r w:rsidR="00FD7540" w:rsidRPr="00DF2B53">
        <w:rPr>
          <w:rFonts w:ascii="Times New Roman" w:hAnsi="Times New Roman" w:cs="Times New Roman"/>
        </w:rPr>
        <w:t>s</w:t>
      </w:r>
      <w:r w:rsidR="009E225C" w:rsidRPr="00DF2B53">
        <w:rPr>
          <w:rFonts w:ascii="Times New Roman" w:hAnsi="Times New Roman" w:cs="Times New Roman"/>
        </w:rPr>
        <w:t>ing decision-making practices under the pretext of respond</w:t>
      </w:r>
      <w:r w:rsidR="006B70C3">
        <w:rPr>
          <w:rFonts w:ascii="Times New Roman" w:hAnsi="Times New Roman" w:cs="Times New Roman"/>
        </w:rPr>
        <w:t>ing</w:t>
      </w:r>
      <w:r w:rsidR="009E225C" w:rsidRPr="00DF2B53">
        <w:rPr>
          <w:rFonts w:ascii="Times New Roman" w:hAnsi="Times New Roman" w:cs="Times New Roman"/>
        </w:rPr>
        <w:t xml:space="preserve"> to the emergency.</w:t>
      </w:r>
      <w:r w:rsidR="009E225C" w:rsidRPr="00DC52BD">
        <w:rPr>
          <w:rStyle w:val="FootnoteReference"/>
        </w:rPr>
        <w:footnoteReference w:id="16"/>
      </w:r>
      <w:r w:rsidR="000550FB" w:rsidRPr="00DF2B53">
        <w:rPr>
          <w:rFonts w:ascii="Times New Roman" w:hAnsi="Times New Roman" w:cs="Times New Roman"/>
        </w:rPr>
        <w:t xml:space="preserve">Another risk </w:t>
      </w:r>
      <w:r w:rsidR="00F80454" w:rsidRPr="00DF2B53">
        <w:rPr>
          <w:rFonts w:ascii="Times New Roman" w:hAnsi="Times New Roman" w:cs="Times New Roman"/>
        </w:rPr>
        <w:t xml:space="preserve">is that measures enacted by </w:t>
      </w:r>
      <w:r w:rsidR="00FD4D44" w:rsidRPr="00DF2B53">
        <w:rPr>
          <w:rFonts w:ascii="Times New Roman" w:hAnsi="Times New Roman" w:cs="Times New Roman"/>
        </w:rPr>
        <w:t xml:space="preserve">democratic leaders </w:t>
      </w:r>
      <w:r w:rsidR="001C39AF" w:rsidRPr="00DF2B53">
        <w:rPr>
          <w:rFonts w:ascii="Times New Roman" w:hAnsi="Times New Roman" w:cs="Times New Roman"/>
        </w:rPr>
        <w:t>add to a ‘transnational constitutional pandemic’</w:t>
      </w:r>
      <w:r w:rsidR="001C39AF" w:rsidRPr="00DC52BD">
        <w:rPr>
          <w:rStyle w:val="FootnoteReference"/>
        </w:rPr>
        <w:footnoteReference w:id="17"/>
      </w:r>
      <w:r w:rsidR="00FD4D44" w:rsidRPr="00DF2B53">
        <w:rPr>
          <w:rFonts w:ascii="Times New Roman" w:hAnsi="Times New Roman" w:cs="Times New Roman"/>
        </w:rPr>
        <w:t xml:space="preserve"> </w:t>
      </w:r>
      <w:r w:rsidR="00F80454" w:rsidRPr="00DF2B53">
        <w:rPr>
          <w:rFonts w:ascii="Times New Roman" w:hAnsi="Times New Roman" w:cs="Times New Roman"/>
        </w:rPr>
        <w:t>in the name of effectiveness; they create precedents of misuse of legal regulation in the name of ‘higher goals’</w:t>
      </w:r>
      <w:r w:rsidR="009E225C" w:rsidRPr="00DF2B53">
        <w:rPr>
          <w:rFonts w:ascii="Times New Roman" w:hAnsi="Times New Roman" w:cs="Times New Roman"/>
        </w:rPr>
        <w:t xml:space="preserve"> in future, non-pandemic contexts. </w:t>
      </w:r>
    </w:p>
    <w:p w14:paraId="02BDACB9" w14:textId="77777777" w:rsidR="00F80454" w:rsidRPr="00DF2B53" w:rsidRDefault="00F80454" w:rsidP="001C2959">
      <w:pPr>
        <w:jc w:val="both"/>
        <w:rPr>
          <w:rFonts w:ascii="Times New Roman" w:hAnsi="Times New Roman" w:cs="Times New Roman"/>
        </w:rPr>
      </w:pPr>
    </w:p>
    <w:p w14:paraId="42AC056D" w14:textId="6BDAC021" w:rsidR="00CB4918" w:rsidRPr="00DF2B53" w:rsidRDefault="0061520B" w:rsidP="001C2959">
      <w:pPr>
        <w:jc w:val="both"/>
        <w:rPr>
          <w:rFonts w:ascii="Times New Roman" w:hAnsi="Times New Roman" w:cs="Times New Roman"/>
        </w:rPr>
      </w:pPr>
      <w:r w:rsidRPr="00DF2B53">
        <w:rPr>
          <w:rFonts w:ascii="Times New Roman" w:hAnsi="Times New Roman" w:cs="Times New Roman"/>
        </w:rPr>
        <w:t>Q</w:t>
      </w:r>
      <w:r w:rsidR="007820E3" w:rsidRPr="00DF2B53">
        <w:rPr>
          <w:rFonts w:ascii="Times New Roman" w:hAnsi="Times New Roman" w:cs="Times New Roman"/>
        </w:rPr>
        <w:t>uestions</w:t>
      </w:r>
      <w:r w:rsidR="00F80454" w:rsidRPr="00DF2B53">
        <w:rPr>
          <w:rFonts w:ascii="Times New Roman" w:hAnsi="Times New Roman" w:cs="Times New Roman"/>
        </w:rPr>
        <w:t xml:space="preserve"> of </w:t>
      </w:r>
      <w:r w:rsidR="007820E3" w:rsidRPr="00DF2B53">
        <w:rPr>
          <w:rFonts w:ascii="Times New Roman" w:hAnsi="Times New Roman" w:cs="Times New Roman"/>
        </w:rPr>
        <w:t xml:space="preserve">governance and political leadership </w:t>
      </w:r>
      <w:r w:rsidR="00585FBA">
        <w:rPr>
          <w:rFonts w:ascii="Times New Roman" w:hAnsi="Times New Roman" w:cs="Times New Roman"/>
        </w:rPr>
        <w:t>are</w:t>
      </w:r>
      <w:r w:rsidR="00585FBA" w:rsidRPr="00DF2B53">
        <w:rPr>
          <w:rFonts w:ascii="Times New Roman" w:hAnsi="Times New Roman" w:cs="Times New Roman"/>
        </w:rPr>
        <w:t xml:space="preserve"> </w:t>
      </w:r>
      <w:r w:rsidR="007820E3" w:rsidRPr="00DF2B53">
        <w:rPr>
          <w:rFonts w:ascii="Times New Roman" w:hAnsi="Times New Roman" w:cs="Times New Roman"/>
        </w:rPr>
        <w:t xml:space="preserve">central for evaluating the impacts of the </w:t>
      </w:r>
      <w:proofErr w:type="spellStart"/>
      <w:r w:rsidR="007820E3" w:rsidRPr="00DF2B53">
        <w:rPr>
          <w:rFonts w:ascii="Times New Roman" w:hAnsi="Times New Roman" w:cs="Times New Roman"/>
        </w:rPr>
        <w:t>SsoE</w:t>
      </w:r>
      <w:proofErr w:type="spellEnd"/>
      <w:r w:rsidR="007820E3" w:rsidRPr="00DF2B53">
        <w:rPr>
          <w:rFonts w:ascii="Times New Roman" w:hAnsi="Times New Roman" w:cs="Times New Roman"/>
        </w:rPr>
        <w:t xml:space="preserve"> on risk preparedness and capacity to </w:t>
      </w:r>
      <w:r w:rsidR="006A5F5B" w:rsidRPr="00DF2B53">
        <w:rPr>
          <w:rFonts w:ascii="Times New Roman" w:hAnsi="Times New Roman" w:cs="Times New Roman"/>
        </w:rPr>
        <w:t>uphold societal well-being.</w:t>
      </w:r>
      <w:r w:rsidR="006A5F5B" w:rsidRPr="00DC52BD">
        <w:rPr>
          <w:rStyle w:val="FootnoteReference"/>
        </w:rPr>
        <w:footnoteReference w:id="18"/>
      </w:r>
      <w:r w:rsidR="006A5F5B" w:rsidRPr="00DF2B53">
        <w:rPr>
          <w:rFonts w:ascii="Times New Roman" w:hAnsi="Times New Roman" w:cs="Times New Roman"/>
        </w:rPr>
        <w:t xml:space="preserve"> Y</w:t>
      </w:r>
      <w:r w:rsidR="007820E3" w:rsidRPr="00DF2B53">
        <w:rPr>
          <w:rFonts w:ascii="Times New Roman" w:hAnsi="Times New Roman" w:cs="Times New Roman"/>
        </w:rPr>
        <w:t xml:space="preserve">et, they have </w:t>
      </w:r>
      <w:r w:rsidR="006A5F5B" w:rsidRPr="00DF2B53">
        <w:rPr>
          <w:rFonts w:ascii="Times New Roman" w:hAnsi="Times New Roman" w:cs="Times New Roman"/>
        </w:rPr>
        <w:t>largely</w:t>
      </w:r>
      <w:r w:rsidR="009E225C" w:rsidRPr="00DF2B53">
        <w:rPr>
          <w:rFonts w:ascii="Times New Roman" w:hAnsi="Times New Roman" w:cs="Times New Roman"/>
        </w:rPr>
        <w:t xml:space="preserve"> </w:t>
      </w:r>
      <w:r w:rsidR="009E225C" w:rsidRPr="00DF2B53">
        <w:rPr>
          <w:rFonts w:ascii="Times New Roman" w:hAnsi="Times New Roman" w:cs="Times New Roman"/>
        </w:rPr>
        <w:lastRenderedPageBreak/>
        <w:t>been</w:t>
      </w:r>
      <w:r w:rsidR="006A5F5B" w:rsidRPr="00DF2B53">
        <w:rPr>
          <w:rFonts w:ascii="Times New Roman" w:hAnsi="Times New Roman" w:cs="Times New Roman"/>
        </w:rPr>
        <w:t xml:space="preserve"> omitted from more doctrinal studies of emergencies.</w:t>
      </w:r>
      <w:r w:rsidR="006A5F5B" w:rsidRPr="00DC52BD">
        <w:rPr>
          <w:rStyle w:val="FootnoteReference"/>
        </w:rPr>
        <w:footnoteReference w:id="19"/>
      </w:r>
      <w:r w:rsidR="006A5F5B" w:rsidRPr="00DF2B53">
        <w:rPr>
          <w:rFonts w:ascii="Times New Roman" w:hAnsi="Times New Roman" w:cs="Times New Roman"/>
        </w:rPr>
        <w:t xml:space="preserve"> This article contributes to filling this gap by critically engaging with the </w:t>
      </w:r>
      <w:r w:rsidR="00585FBA">
        <w:rPr>
          <w:rFonts w:ascii="Times New Roman" w:hAnsi="Times New Roman" w:cs="Times New Roman"/>
        </w:rPr>
        <w:t>concepts</w:t>
      </w:r>
      <w:r w:rsidR="006A5F5B" w:rsidRPr="00DF2B53">
        <w:rPr>
          <w:rFonts w:ascii="Times New Roman" w:hAnsi="Times New Roman" w:cs="Times New Roman"/>
        </w:rPr>
        <w:t xml:space="preserve"> of ‘executive underreach’ and ‘executive overreach’, </w:t>
      </w:r>
      <w:r w:rsidR="00585FBA">
        <w:rPr>
          <w:rFonts w:ascii="Times New Roman" w:hAnsi="Times New Roman" w:cs="Times New Roman"/>
        </w:rPr>
        <w:t>both</w:t>
      </w:r>
      <w:r w:rsidR="0000490E" w:rsidRPr="00DF2B53">
        <w:rPr>
          <w:rFonts w:ascii="Times New Roman" w:hAnsi="Times New Roman" w:cs="Times New Roman"/>
        </w:rPr>
        <w:t xml:space="preserve"> influential in studying the connection between leadership and emergencies in the COVID-19 context.</w:t>
      </w:r>
      <w:r w:rsidR="00E07918" w:rsidRPr="00DC52BD">
        <w:rPr>
          <w:rStyle w:val="FootnoteReference"/>
        </w:rPr>
        <w:footnoteReference w:id="20"/>
      </w:r>
      <w:r w:rsidR="00E07918" w:rsidRPr="00DF2B53">
        <w:rPr>
          <w:rFonts w:ascii="Times New Roman" w:hAnsi="Times New Roman" w:cs="Times New Roman"/>
        </w:rPr>
        <w:t xml:space="preserve"> </w:t>
      </w:r>
      <w:r w:rsidR="003A48F2" w:rsidRPr="00DF2B53">
        <w:rPr>
          <w:rFonts w:ascii="Times New Roman" w:hAnsi="Times New Roman" w:cs="Times New Roman"/>
        </w:rPr>
        <w:t xml:space="preserve">Its purpose is to </w:t>
      </w:r>
      <w:r w:rsidR="007833EA">
        <w:rPr>
          <w:rFonts w:ascii="Times New Roman" w:hAnsi="Times New Roman" w:cs="Times New Roman"/>
        </w:rPr>
        <w:t>examine the applicability of</w:t>
      </w:r>
      <w:r w:rsidR="007833EA" w:rsidRPr="00DF2B53">
        <w:rPr>
          <w:rFonts w:ascii="Times New Roman" w:hAnsi="Times New Roman" w:cs="Times New Roman"/>
        </w:rPr>
        <w:t xml:space="preserve"> </w:t>
      </w:r>
      <w:r w:rsidR="003A48F2" w:rsidRPr="00DF2B53">
        <w:rPr>
          <w:rFonts w:ascii="Times New Roman" w:hAnsi="Times New Roman" w:cs="Times New Roman"/>
        </w:rPr>
        <w:t>these executive governance</w:t>
      </w:r>
      <w:r w:rsidR="00201D56" w:rsidRPr="00DF2B53">
        <w:rPr>
          <w:rFonts w:ascii="Times New Roman" w:hAnsi="Times New Roman" w:cs="Times New Roman"/>
        </w:rPr>
        <w:t xml:space="preserve"> failures</w:t>
      </w:r>
      <w:r w:rsidR="003A48F2" w:rsidRPr="00DF2B53">
        <w:rPr>
          <w:rFonts w:ascii="Times New Roman" w:hAnsi="Times New Roman" w:cs="Times New Roman"/>
        </w:rPr>
        <w:t xml:space="preserve"> </w:t>
      </w:r>
      <w:r w:rsidR="007D50DC">
        <w:rPr>
          <w:rFonts w:ascii="Times New Roman" w:hAnsi="Times New Roman" w:cs="Times New Roman"/>
        </w:rPr>
        <w:t xml:space="preserve">with respect to </w:t>
      </w:r>
      <w:proofErr w:type="spellStart"/>
      <w:r w:rsidR="003A48F2" w:rsidRPr="00DF2B53">
        <w:rPr>
          <w:rFonts w:ascii="Times New Roman" w:hAnsi="Times New Roman" w:cs="Times New Roman"/>
        </w:rPr>
        <w:t>SsoE</w:t>
      </w:r>
      <w:proofErr w:type="spellEnd"/>
      <w:r w:rsidR="007D50DC">
        <w:rPr>
          <w:rFonts w:ascii="Times New Roman" w:hAnsi="Times New Roman" w:cs="Times New Roman"/>
        </w:rPr>
        <w:t xml:space="preserve"> declarations</w:t>
      </w:r>
      <w:r w:rsidR="00201D56" w:rsidRPr="00DF2B53">
        <w:rPr>
          <w:rFonts w:ascii="Times New Roman" w:hAnsi="Times New Roman" w:cs="Times New Roman"/>
        </w:rPr>
        <w:t>,</w:t>
      </w:r>
      <w:r w:rsidR="003A48F2" w:rsidRPr="00DF2B53">
        <w:rPr>
          <w:rFonts w:ascii="Times New Roman" w:hAnsi="Times New Roman" w:cs="Times New Roman"/>
        </w:rPr>
        <w:t xml:space="preserve"> </w:t>
      </w:r>
      <w:r w:rsidR="007D50DC">
        <w:rPr>
          <w:rFonts w:ascii="Times New Roman" w:hAnsi="Times New Roman" w:cs="Times New Roman"/>
        </w:rPr>
        <w:t xml:space="preserve">subjecting the </w:t>
      </w:r>
      <w:r w:rsidR="00356D29" w:rsidRPr="00DF2B53">
        <w:rPr>
          <w:rFonts w:ascii="Times New Roman" w:hAnsi="Times New Roman" w:cs="Times New Roman"/>
        </w:rPr>
        <w:t xml:space="preserve">connection </w:t>
      </w:r>
      <w:r w:rsidR="00201D56" w:rsidRPr="00DF2B53">
        <w:rPr>
          <w:rFonts w:ascii="Times New Roman" w:hAnsi="Times New Roman" w:cs="Times New Roman"/>
        </w:rPr>
        <w:t>b</w:t>
      </w:r>
      <w:r w:rsidR="00356D29" w:rsidRPr="00DF2B53">
        <w:rPr>
          <w:rFonts w:ascii="Times New Roman" w:hAnsi="Times New Roman" w:cs="Times New Roman"/>
        </w:rPr>
        <w:t xml:space="preserve">etween the political decision to invoke </w:t>
      </w:r>
      <w:proofErr w:type="spellStart"/>
      <w:r w:rsidR="00356D29" w:rsidRPr="00DF2B53">
        <w:rPr>
          <w:rFonts w:ascii="Times New Roman" w:hAnsi="Times New Roman" w:cs="Times New Roman"/>
        </w:rPr>
        <w:t>SsoE</w:t>
      </w:r>
      <w:proofErr w:type="spellEnd"/>
      <w:r w:rsidR="00356D29" w:rsidRPr="00DF2B53">
        <w:rPr>
          <w:rFonts w:ascii="Times New Roman" w:hAnsi="Times New Roman" w:cs="Times New Roman"/>
        </w:rPr>
        <w:t xml:space="preserve"> and executive overreach</w:t>
      </w:r>
      <w:r w:rsidR="007D50DC">
        <w:rPr>
          <w:rFonts w:ascii="Times New Roman" w:hAnsi="Times New Roman" w:cs="Times New Roman"/>
        </w:rPr>
        <w:t xml:space="preserve"> to critical scrutiny</w:t>
      </w:r>
      <w:r w:rsidR="00356D29" w:rsidRPr="00DF2B53">
        <w:rPr>
          <w:rFonts w:ascii="Times New Roman" w:hAnsi="Times New Roman" w:cs="Times New Roman"/>
        </w:rPr>
        <w:t xml:space="preserve">. </w:t>
      </w:r>
      <w:r w:rsidR="00E071B5" w:rsidRPr="00DF2B53">
        <w:rPr>
          <w:rFonts w:ascii="Times New Roman" w:hAnsi="Times New Roman" w:cs="Times New Roman"/>
        </w:rPr>
        <w:t>The paper utili</w:t>
      </w:r>
      <w:r w:rsidR="00FD7540" w:rsidRPr="00DF2B53">
        <w:rPr>
          <w:rFonts w:ascii="Times New Roman" w:hAnsi="Times New Roman" w:cs="Times New Roman"/>
        </w:rPr>
        <w:t>s</w:t>
      </w:r>
      <w:r w:rsidR="00E071B5" w:rsidRPr="00DF2B53">
        <w:rPr>
          <w:rFonts w:ascii="Times New Roman" w:hAnsi="Times New Roman" w:cs="Times New Roman"/>
        </w:rPr>
        <w:t xml:space="preserve">es original empirical data from Slovakia, that </w:t>
      </w:r>
      <w:r w:rsidR="00690801" w:rsidRPr="00DF2B53">
        <w:rPr>
          <w:rFonts w:ascii="Times New Roman" w:hAnsi="Times New Roman" w:cs="Times New Roman"/>
        </w:rPr>
        <w:t xml:space="preserve">shifted from a ‘success story’ to a ‘black sheep’ in pandemic </w:t>
      </w:r>
      <w:r w:rsidR="008B6259">
        <w:rPr>
          <w:rFonts w:ascii="Times New Roman" w:hAnsi="Times New Roman" w:cs="Times New Roman"/>
        </w:rPr>
        <w:t xml:space="preserve">management </w:t>
      </w:r>
      <w:r w:rsidR="00690801" w:rsidRPr="00DF2B53">
        <w:rPr>
          <w:rFonts w:ascii="Times New Roman" w:hAnsi="Times New Roman" w:cs="Times New Roman"/>
        </w:rPr>
        <w:t xml:space="preserve">between early 2020 and </w:t>
      </w:r>
      <w:r w:rsidR="00CD157D" w:rsidRPr="00DF2B53">
        <w:rPr>
          <w:rFonts w:ascii="Times New Roman" w:hAnsi="Times New Roman" w:cs="Times New Roman"/>
        </w:rPr>
        <w:t xml:space="preserve">2021. The analysis of the justifications of invoking the </w:t>
      </w:r>
      <w:proofErr w:type="spellStart"/>
      <w:r w:rsidR="00CD157D" w:rsidRPr="00DF2B53">
        <w:rPr>
          <w:rFonts w:ascii="Times New Roman" w:hAnsi="Times New Roman" w:cs="Times New Roman"/>
        </w:rPr>
        <w:t>SsoE</w:t>
      </w:r>
      <w:proofErr w:type="spellEnd"/>
      <w:r w:rsidR="00CD157D" w:rsidRPr="00DF2B53">
        <w:rPr>
          <w:rFonts w:ascii="Times New Roman" w:hAnsi="Times New Roman" w:cs="Times New Roman"/>
        </w:rPr>
        <w:t xml:space="preserve"> in connection with the Slovak executive communication shows that </w:t>
      </w:r>
      <w:proofErr w:type="spellStart"/>
      <w:r w:rsidR="007554ED" w:rsidRPr="00DF2B53">
        <w:rPr>
          <w:rFonts w:ascii="Times New Roman" w:hAnsi="Times New Roman" w:cs="Times New Roman"/>
        </w:rPr>
        <w:t>SsoE</w:t>
      </w:r>
      <w:proofErr w:type="spellEnd"/>
      <w:r w:rsidR="007554ED" w:rsidRPr="00DF2B53">
        <w:rPr>
          <w:rFonts w:ascii="Times New Roman" w:hAnsi="Times New Roman" w:cs="Times New Roman"/>
        </w:rPr>
        <w:t xml:space="preserve"> may combine, in various ways, with </w:t>
      </w:r>
      <w:r w:rsidR="007554ED" w:rsidRPr="00DF2B53">
        <w:rPr>
          <w:rFonts w:ascii="Times New Roman" w:hAnsi="Times New Roman" w:cs="Times New Roman"/>
          <w:i/>
          <w:iCs/>
        </w:rPr>
        <w:t xml:space="preserve">both </w:t>
      </w:r>
      <w:r w:rsidR="007554ED" w:rsidRPr="00DF2B53">
        <w:rPr>
          <w:rFonts w:ascii="Times New Roman" w:hAnsi="Times New Roman" w:cs="Times New Roman"/>
        </w:rPr>
        <w:t xml:space="preserve">executive overreach and executive underreach. </w:t>
      </w:r>
      <w:r w:rsidR="00201D56" w:rsidRPr="00DF2B53">
        <w:rPr>
          <w:rFonts w:ascii="Times New Roman" w:hAnsi="Times New Roman" w:cs="Times New Roman"/>
        </w:rPr>
        <w:t>This underscores the nature of the</w:t>
      </w:r>
      <w:r w:rsidR="007554ED" w:rsidRPr="00DF2B53">
        <w:rPr>
          <w:rFonts w:ascii="Times New Roman" w:hAnsi="Times New Roman" w:cs="Times New Roman"/>
        </w:rPr>
        <w:t xml:space="preserve"> </w:t>
      </w:r>
      <w:proofErr w:type="spellStart"/>
      <w:r w:rsidR="007554ED" w:rsidRPr="00DF2B53">
        <w:rPr>
          <w:rFonts w:ascii="Times New Roman" w:hAnsi="Times New Roman" w:cs="Times New Roman"/>
        </w:rPr>
        <w:t>SsoE</w:t>
      </w:r>
      <w:proofErr w:type="spellEnd"/>
      <w:r w:rsidR="00201D56" w:rsidRPr="00DF2B53">
        <w:rPr>
          <w:rFonts w:ascii="Times New Roman" w:hAnsi="Times New Roman" w:cs="Times New Roman"/>
        </w:rPr>
        <w:t xml:space="preserve">, which alone </w:t>
      </w:r>
      <w:r w:rsidR="007554ED" w:rsidRPr="00DF2B53">
        <w:rPr>
          <w:rFonts w:ascii="Times New Roman" w:hAnsi="Times New Roman" w:cs="Times New Roman"/>
        </w:rPr>
        <w:t xml:space="preserve">are empty shells that </w:t>
      </w:r>
      <w:r w:rsidR="00B8477D" w:rsidRPr="00DF2B53">
        <w:rPr>
          <w:rFonts w:ascii="Times New Roman" w:hAnsi="Times New Roman" w:cs="Times New Roman"/>
        </w:rPr>
        <w:t>need to be scrutini</w:t>
      </w:r>
      <w:r w:rsidR="00FD7540" w:rsidRPr="00DF2B53">
        <w:rPr>
          <w:rFonts w:ascii="Times New Roman" w:hAnsi="Times New Roman" w:cs="Times New Roman"/>
        </w:rPr>
        <w:t>s</w:t>
      </w:r>
      <w:r w:rsidR="00B8477D" w:rsidRPr="00DF2B53">
        <w:rPr>
          <w:rFonts w:ascii="Times New Roman" w:hAnsi="Times New Roman" w:cs="Times New Roman"/>
        </w:rPr>
        <w:t>ed alongside the communication</w:t>
      </w:r>
      <w:r w:rsidR="00D71631" w:rsidRPr="00DF2B53">
        <w:rPr>
          <w:rFonts w:ascii="Times New Roman" w:hAnsi="Times New Roman" w:cs="Times New Roman"/>
        </w:rPr>
        <w:t xml:space="preserve"> of political leaders who </w:t>
      </w:r>
      <w:r w:rsidR="00206A22">
        <w:rPr>
          <w:rFonts w:ascii="Times New Roman" w:hAnsi="Times New Roman" w:cs="Times New Roman"/>
        </w:rPr>
        <w:t>may activate</w:t>
      </w:r>
      <w:r w:rsidR="00D71631" w:rsidRPr="00DF2B53">
        <w:rPr>
          <w:rFonts w:ascii="Times New Roman" w:hAnsi="Times New Roman" w:cs="Times New Roman"/>
        </w:rPr>
        <w:t xml:space="preserve"> them as one regulatory option</w:t>
      </w:r>
      <w:r w:rsidR="00CB4918" w:rsidRPr="00DF2B53">
        <w:rPr>
          <w:rFonts w:ascii="Times New Roman" w:hAnsi="Times New Roman" w:cs="Times New Roman"/>
        </w:rPr>
        <w:t xml:space="preserve">. The findings bear lessons for </w:t>
      </w:r>
      <w:r w:rsidR="006A64E1" w:rsidRPr="00DF2B53">
        <w:rPr>
          <w:rFonts w:ascii="Times New Roman" w:hAnsi="Times New Roman" w:cs="Times New Roman"/>
        </w:rPr>
        <w:t xml:space="preserve">the decision making on </w:t>
      </w:r>
      <w:proofErr w:type="spellStart"/>
      <w:r w:rsidR="006A64E1" w:rsidRPr="00DF2B53">
        <w:rPr>
          <w:rFonts w:ascii="Times New Roman" w:hAnsi="Times New Roman" w:cs="Times New Roman"/>
        </w:rPr>
        <w:t>SsoE</w:t>
      </w:r>
      <w:proofErr w:type="spellEnd"/>
      <w:r w:rsidR="006A64E1" w:rsidRPr="00DF2B53">
        <w:rPr>
          <w:rFonts w:ascii="Times New Roman" w:hAnsi="Times New Roman" w:cs="Times New Roman"/>
        </w:rPr>
        <w:t>,</w:t>
      </w:r>
      <w:r w:rsidR="00DB47AB" w:rsidRPr="00DC52BD">
        <w:rPr>
          <w:rStyle w:val="FootnoteReference"/>
        </w:rPr>
        <w:footnoteReference w:id="21"/>
      </w:r>
      <w:r w:rsidR="006A64E1" w:rsidRPr="00DF2B53">
        <w:rPr>
          <w:rFonts w:ascii="Times New Roman" w:hAnsi="Times New Roman" w:cs="Times New Roman"/>
        </w:rPr>
        <w:t xml:space="preserve"> </w:t>
      </w:r>
      <w:r w:rsidR="00206A22">
        <w:rPr>
          <w:rFonts w:ascii="Times New Roman" w:hAnsi="Times New Roman" w:cs="Times New Roman"/>
        </w:rPr>
        <w:t>of increasing relevance due to</w:t>
      </w:r>
      <w:r w:rsidR="006A64E1" w:rsidRPr="00DF2B53">
        <w:rPr>
          <w:rFonts w:ascii="Times New Roman" w:hAnsi="Times New Roman" w:cs="Times New Roman"/>
        </w:rPr>
        <w:t xml:space="preserve"> the </w:t>
      </w:r>
      <w:r w:rsidR="007320DE" w:rsidRPr="00DF2B53">
        <w:rPr>
          <w:rFonts w:ascii="Times New Roman" w:hAnsi="Times New Roman" w:cs="Times New Roman"/>
        </w:rPr>
        <w:t xml:space="preserve">increased salience of societal emergencies (such as war, </w:t>
      </w:r>
      <w:proofErr w:type="gramStart"/>
      <w:r w:rsidR="007320DE" w:rsidRPr="00DF2B53">
        <w:rPr>
          <w:rFonts w:ascii="Times New Roman" w:hAnsi="Times New Roman" w:cs="Times New Roman"/>
        </w:rPr>
        <w:t>climate</w:t>
      </w:r>
      <w:proofErr w:type="gramEnd"/>
      <w:r w:rsidR="007320DE" w:rsidRPr="00DF2B53">
        <w:rPr>
          <w:rFonts w:ascii="Times New Roman" w:hAnsi="Times New Roman" w:cs="Times New Roman"/>
        </w:rPr>
        <w:t xml:space="preserve"> or the AI revolution). </w:t>
      </w:r>
    </w:p>
    <w:p w14:paraId="7FED4669" w14:textId="77777777" w:rsidR="007320DE" w:rsidRPr="00DF2B53" w:rsidRDefault="007320DE" w:rsidP="001C2959">
      <w:pPr>
        <w:jc w:val="both"/>
        <w:rPr>
          <w:rFonts w:ascii="Times New Roman" w:hAnsi="Times New Roman" w:cs="Times New Roman"/>
        </w:rPr>
      </w:pPr>
    </w:p>
    <w:p w14:paraId="129A10FE" w14:textId="62DFF4E2" w:rsidR="007320DE" w:rsidRPr="00DF2B53" w:rsidRDefault="007320DE" w:rsidP="001C2959">
      <w:pPr>
        <w:jc w:val="both"/>
        <w:rPr>
          <w:rFonts w:ascii="Times New Roman" w:hAnsi="Times New Roman" w:cs="Times New Roman"/>
        </w:rPr>
      </w:pPr>
      <w:r w:rsidRPr="00DF2B53">
        <w:rPr>
          <w:rFonts w:ascii="Times New Roman" w:hAnsi="Times New Roman" w:cs="Times New Roman"/>
        </w:rPr>
        <w:t xml:space="preserve">The </w:t>
      </w:r>
      <w:r w:rsidR="00206A22">
        <w:rPr>
          <w:rFonts w:ascii="Times New Roman" w:hAnsi="Times New Roman" w:cs="Times New Roman"/>
        </w:rPr>
        <w:t>article, f</w:t>
      </w:r>
      <w:r w:rsidR="00EE3D8E" w:rsidRPr="00DF2B53">
        <w:rPr>
          <w:rFonts w:ascii="Times New Roman" w:hAnsi="Times New Roman" w:cs="Times New Roman"/>
        </w:rPr>
        <w:t>irstly (I), it critically</w:t>
      </w:r>
      <w:r w:rsidR="0061520B" w:rsidRPr="00DF2B53">
        <w:rPr>
          <w:rFonts w:ascii="Times New Roman" w:hAnsi="Times New Roman" w:cs="Times New Roman"/>
        </w:rPr>
        <w:t xml:space="preserve"> discusses the concepts of executive overreach and underr</w:t>
      </w:r>
      <w:r w:rsidR="00687558" w:rsidRPr="00DF2B53">
        <w:rPr>
          <w:rFonts w:ascii="Times New Roman" w:hAnsi="Times New Roman" w:cs="Times New Roman"/>
        </w:rPr>
        <w:t xml:space="preserve">each and invites thinking of them in a dynamic manner </w:t>
      </w:r>
      <w:r w:rsidR="00201D56" w:rsidRPr="00DF2B53">
        <w:rPr>
          <w:rFonts w:ascii="Times New Roman" w:hAnsi="Times New Roman" w:cs="Times New Roman"/>
        </w:rPr>
        <w:t xml:space="preserve">without a </w:t>
      </w:r>
      <w:r w:rsidR="00687558" w:rsidRPr="00DF2B53">
        <w:rPr>
          <w:rFonts w:ascii="Times New Roman" w:hAnsi="Times New Roman" w:cs="Times New Roman"/>
        </w:rPr>
        <w:t xml:space="preserve">necessary connection </w:t>
      </w:r>
      <w:r w:rsidR="00201D56" w:rsidRPr="00DF2B53">
        <w:rPr>
          <w:rFonts w:ascii="Times New Roman" w:hAnsi="Times New Roman" w:cs="Times New Roman"/>
        </w:rPr>
        <w:t>to de</w:t>
      </w:r>
      <w:r w:rsidR="00687558" w:rsidRPr="00DF2B53">
        <w:rPr>
          <w:rFonts w:ascii="Times New Roman" w:hAnsi="Times New Roman" w:cs="Times New Roman"/>
        </w:rPr>
        <w:t xml:space="preserve">clarations of </w:t>
      </w:r>
      <w:proofErr w:type="spellStart"/>
      <w:r w:rsidR="00687558" w:rsidRPr="00DF2B53">
        <w:rPr>
          <w:rFonts w:ascii="Times New Roman" w:hAnsi="Times New Roman" w:cs="Times New Roman"/>
        </w:rPr>
        <w:t>SSoE</w:t>
      </w:r>
      <w:proofErr w:type="spellEnd"/>
      <w:r w:rsidR="00687558" w:rsidRPr="00DF2B53">
        <w:rPr>
          <w:rFonts w:ascii="Times New Roman" w:hAnsi="Times New Roman" w:cs="Times New Roman"/>
        </w:rPr>
        <w:t xml:space="preserve">. Secondly (II), it introduces the Slovak case as a key case of pandemic mismanagement, </w:t>
      </w:r>
      <w:r w:rsidR="00206A22">
        <w:rPr>
          <w:rFonts w:ascii="Times New Roman" w:hAnsi="Times New Roman" w:cs="Times New Roman"/>
        </w:rPr>
        <w:t>where the</w:t>
      </w:r>
      <w:r w:rsidR="00687558" w:rsidRPr="00DF2B53">
        <w:rPr>
          <w:rFonts w:ascii="Times New Roman" w:hAnsi="Times New Roman" w:cs="Times New Roman"/>
        </w:rPr>
        <w:t xml:space="preserve"> combination of overreach and underreach, </w:t>
      </w:r>
      <w:r w:rsidR="00201D56" w:rsidRPr="00DF2B53">
        <w:rPr>
          <w:rFonts w:ascii="Times New Roman" w:hAnsi="Times New Roman" w:cs="Times New Roman"/>
        </w:rPr>
        <w:t>even</w:t>
      </w:r>
      <w:r w:rsidR="00687558" w:rsidRPr="00DF2B53">
        <w:rPr>
          <w:rFonts w:ascii="Times New Roman" w:hAnsi="Times New Roman" w:cs="Times New Roman"/>
        </w:rPr>
        <w:t xml:space="preserve"> </w:t>
      </w:r>
      <w:r w:rsidR="002C656C" w:rsidRPr="00DF2B53">
        <w:rPr>
          <w:rFonts w:ascii="Times New Roman" w:hAnsi="Times New Roman" w:cs="Times New Roman"/>
        </w:rPr>
        <w:t>triggered by the same decision-makers, rais</w:t>
      </w:r>
      <w:r w:rsidR="00206A22">
        <w:rPr>
          <w:rFonts w:ascii="Times New Roman" w:hAnsi="Times New Roman" w:cs="Times New Roman"/>
        </w:rPr>
        <w:t>es</w:t>
      </w:r>
      <w:r w:rsidR="002C656C" w:rsidRPr="00DF2B53">
        <w:rPr>
          <w:rFonts w:ascii="Times New Roman" w:hAnsi="Times New Roman" w:cs="Times New Roman"/>
        </w:rPr>
        <w:t xml:space="preserve"> the question of the utility of the categories. Thirdly (III), </w:t>
      </w:r>
      <w:r w:rsidR="00BD21B5">
        <w:rPr>
          <w:rFonts w:ascii="Times New Roman" w:hAnsi="Times New Roman" w:cs="Times New Roman"/>
        </w:rPr>
        <w:t xml:space="preserve">examining </w:t>
      </w:r>
      <w:r w:rsidR="002C656C" w:rsidRPr="00DF2B53">
        <w:rPr>
          <w:rFonts w:ascii="Times New Roman" w:hAnsi="Times New Roman" w:cs="Times New Roman"/>
        </w:rPr>
        <w:t>the justifications</w:t>
      </w:r>
      <w:r w:rsidR="00206A22">
        <w:rPr>
          <w:rFonts w:ascii="Times New Roman" w:hAnsi="Times New Roman" w:cs="Times New Roman"/>
        </w:rPr>
        <w:t xml:space="preserve"> </w:t>
      </w:r>
      <w:r w:rsidR="002C656C" w:rsidRPr="00DF2B53">
        <w:rPr>
          <w:rFonts w:ascii="Times New Roman" w:hAnsi="Times New Roman" w:cs="Times New Roman"/>
        </w:rPr>
        <w:t xml:space="preserve">for </w:t>
      </w:r>
      <w:proofErr w:type="gramStart"/>
      <w:r w:rsidR="002C656C" w:rsidRPr="00DF2B53">
        <w:rPr>
          <w:rFonts w:ascii="Times New Roman" w:hAnsi="Times New Roman" w:cs="Times New Roman"/>
        </w:rPr>
        <w:t>particular measures</w:t>
      </w:r>
      <w:proofErr w:type="gramEnd"/>
      <w:r w:rsidR="002C656C" w:rsidRPr="00DF2B53">
        <w:rPr>
          <w:rFonts w:ascii="Times New Roman" w:hAnsi="Times New Roman" w:cs="Times New Roman"/>
        </w:rPr>
        <w:t xml:space="preserve"> to respond to the pandemic shows </w:t>
      </w:r>
      <w:r w:rsidR="00A345CF" w:rsidRPr="00DF2B53">
        <w:rPr>
          <w:rFonts w:ascii="Times New Roman" w:hAnsi="Times New Roman" w:cs="Times New Roman"/>
        </w:rPr>
        <w:t xml:space="preserve">how the overlapping categories of underreach and overreach may signal a state of ‘government in panic’, which damages the </w:t>
      </w:r>
      <w:proofErr w:type="spellStart"/>
      <w:r w:rsidR="00A345CF" w:rsidRPr="00DF2B53">
        <w:rPr>
          <w:rFonts w:ascii="Times New Roman" w:hAnsi="Times New Roman" w:cs="Times New Roman"/>
        </w:rPr>
        <w:t>SsoE</w:t>
      </w:r>
      <w:proofErr w:type="spellEnd"/>
      <w:r w:rsidR="00A345CF" w:rsidRPr="00DF2B53">
        <w:rPr>
          <w:rFonts w:ascii="Times New Roman" w:hAnsi="Times New Roman" w:cs="Times New Roman"/>
        </w:rPr>
        <w:t xml:space="preserve"> as a legal institution and may </w:t>
      </w:r>
      <w:r w:rsidR="00B83B56" w:rsidRPr="00DF2B53">
        <w:rPr>
          <w:rFonts w:ascii="Times New Roman" w:hAnsi="Times New Roman" w:cs="Times New Roman"/>
        </w:rPr>
        <w:t xml:space="preserve">complicate the regulation and responses to future emergencies. </w:t>
      </w:r>
    </w:p>
    <w:p w14:paraId="35714F35" w14:textId="77777777" w:rsidR="00862934" w:rsidRPr="00DF2B53" w:rsidRDefault="00862934" w:rsidP="001C2959">
      <w:pPr>
        <w:jc w:val="both"/>
        <w:rPr>
          <w:rFonts w:ascii="Times New Roman" w:hAnsi="Times New Roman" w:cs="Times New Roman"/>
        </w:rPr>
      </w:pPr>
    </w:p>
    <w:p w14:paraId="49F0E9E0" w14:textId="4CF7B3D7" w:rsidR="00862934" w:rsidRPr="00DF2B53" w:rsidRDefault="00B74D55" w:rsidP="00DC7DA2">
      <w:pPr>
        <w:pStyle w:val="Heading2"/>
        <w:rPr>
          <w:rFonts w:ascii="Times New Roman" w:hAnsi="Times New Roman" w:cs="Times New Roman"/>
          <w:color w:val="auto"/>
          <w:sz w:val="24"/>
          <w:szCs w:val="24"/>
          <w:u w:val="single"/>
        </w:rPr>
      </w:pPr>
      <w:r w:rsidRPr="00DF2B53">
        <w:rPr>
          <w:rFonts w:ascii="Times New Roman" w:hAnsi="Times New Roman" w:cs="Times New Roman"/>
          <w:color w:val="auto"/>
          <w:sz w:val="24"/>
          <w:szCs w:val="24"/>
          <w:u w:val="single"/>
        </w:rPr>
        <w:t>I</w:t>
      </w:r>
      <w:r w:rsidR="00DC7DA2" w:rsidRPr="00DF2B53">
        <w:rPr>
          <w:rFonts w:ascii="Times New Roman" w:hAnsi="Times New Roman" w:cs="Times New Roman"/>
          <w:color w:val="auto"/>
          <w:sz w:val="24"/>
          <w:szCs w:val="24"/>
          <w:u w:val="single"/>
        </w:rPr>
        <w:t xml:space="preserve">I. </w:t>
      </w:r>
      <w:r w:rsidR="00862934" w:rsidRPr="00DF2B53">
        <w:rPr>
          <w:rFonts w:ascii="Times New Roman" w:hAnsi="Times New Roman" w:cs="Times New Roman"/>
          <w:color w:val="auto"/>
          <w:sz w:val="24"/>
          <w:szCs w:val="24"/>
          <w:u w:val="single"/>
        </w:rPr>
        <w:t xml:space="preserve">States of </w:t>
      </w:r>
      <w:r w:rsidR="00802787" w:rsidRPr="00DF2B53">
        <w:rPr>
          <w:rFonts w:ascii="Times New Roman" w:hAnsi="Times New Roman" w:cs="Times New Roman"/>
          <w:color w:val="auto"/>
          <w:sz w:val="24"/>
          <w:szCs w:val="24"/>
          <w:u w:val="single"/>
        </w:rPr>
        <w:t>e</w:t>
      </w:r>
      <w:r w:rsidR="00862934" w:rsidRPr="00DF2B53">
        <w:rPr>
          <w:rFonts w:ascii="Times New Roman" w:hAnsi="Times New Roman" w:cs="Times New Roman"/>
          <w:color w:val="auto"/>
          <w:sz w:val="24"/>
          <w:szCs w:val="24"/>
          <w:u w:val="single"/>
        </w:rPr>
        <w:t>mergency: The threat of overreach, never underreach?</w:t>
      </w:r>
    </w:p>
    <w:p w14:paraId="2FDA81C4" w14:textId="55E32A2F" w:rsidR="002B0677" w:rsidRPr="00DF2B53" w:rsidRDefault="00E07918" w:rsidP="00F43D38">
      <w:pPr>
        <w:jc w:val="both"/>
        <w:rPr>
          <w:rFonts w:ascii="Times New Roman" w:hAnsi="Times New Roman" w:cs="Times New Roman"/>
        </w:rPr>
      </w:pPr>
      <w:r w:rsidRPr="00DF2B53">
        <w:rPr>
          <w:rFonts w:ascii="Times New Roman" w:hAnsi="Times New Roman" w:cs="Times New Roman"/>
        </w:rPr>
        <w:t xml:space="preserve">According to </w:t>
      </w:r>
      <w:proofErr w:type="spellStart"/>
      <w:r w:rsidR="00930581" w:rsidRPr="00DF2B53">
        <w:rPr>
          <w:rFonts w:ascii="Times New Roman" w:hAnsi="Times New Roman" w:cs="Times New Roman"/>
        </w:rPr>
        <w:t>Pozen</w:t>
      </w:r>
      <w:proofErr w:type="spellEnd"/>
      <w:r w:rsidR="00930581" w:rsidRPr="00DF2B53">
        <w:rPr>
          <w:rFonts w:ascii="Times New Roman" w:hAnsi="Times New Roman" w:cs="Times New Roman"/>
        </w:rPr>
        <w:t xml:space="preserve"> and </w:t>
      </w:r>
      <w:proofErr w:type="spellStart"/>
      <w:r w:rsidR="00930581" w:rsidRPr="00DF2B53">
        <w:rPr>
          <w:rFonts w:ascii="Times New Roman" w:hAnsi="Times New Roman" w:cs="Times New Roman"/>
        </w:rPr>
        <w:t>Scheppel</w:t>
      </w:r>
      <w:r w:rsidRPr="00DF2B53">
        <w:rPr>
          <w:rFonts w:ascii="Times New Roman" w:hAnsi="Times New Roman" w:cs="Times New Roman"/>
        </w:rPr>
        <w:t>e</w:t>
      </w:r>
      <w:proofErr w:type="spellEnd"/>
      <w:r w:rsidR="00F43D38" w:rsidRPr="00DF2B53">
        <w:rPr>
          <w:rFonts w:ascii="Times New Roman" w:hAnsi="Times New Roman" w:cs="Times New Roman"/>
        </w:rPr>
        <w:t xml:space="preserve">, </w:t>
      </w:r>
      <w:r w:rsidR="00BB1B50" w:rsidRPr="00DF2B53">
        <w:rPr>
          <w:rFonts w:ascii="Times New Roman" w:hAnsi="Times New Roman" w:cs="Times New Roman"/>
        </w:rPr>
        <w:t>excessive or illegitimate use of executive power, known as executive overreach, is not the only governance failure associated with executive response</w:t>
      </w:r>
      <w:r w:rsidR="004C1B6D">
        <w:rPr>
          <w:rFonts w:ascii="Times New Roman" w:hAnsi="Times New Roman" w:cs="Times New Roman"/>
        </w:rPr>
        <w:t>s</w:t>
      </w:r>
      <w:r w:rsidR="00BB1B50" w:rsidRPr="00DF2B53">
        <w:rPr>
          <w:rFonts w:ascii="Times New Roman" w:hAnsi="Times New Roman" w:cs="Times New Roman"/>
        </w:rPr>
        <w:t xml:space="preserve"> to COVID-19. </w:t>
      </w:r>
      <w:r w:rsidR="004C1B6D">
        <w:rPr>
          <w:rFonts w:ascii="Times New Roman" w:hAnsi="Times New Roman" w:cs="Times New Roman"/>
        </w:rPr>
        <w:t>T</w:t>
      </w:r>
      <w:r w:rsidR="00BB1B50" w:rsidRPr="00DF2B53">
        <w:rPr>
          <w:rFonts w:ascii="Times New Roman" w:hAnsi="Times New Roman" w:cs="Times New Roman"/>
        </w:rPr>
        <w:t xml:space="preserve">he </w:t>
      </w:r>
      <w:r w:rsidR="00BB1B50" w:rsidRPr="00DF2B53">
        <w:rPr>
          <w:rFonts w:ascii="Times New Roman" w:hAnsi="Times New Roman" w:cs="Times New Roman"/>
          <w:i/>
          <w:iCs/>
        </w:rPr>
        <w:t xml:space="preserve">under-use </w:t>
      </w:r>
      <w:r w:rsidR="00BB1B50" w:rsidRPr="00DF2B53">
        <w:rPr>
          <w:rFonts w:ascii="Times New Roman" w:hAnsi="Times New Roman" w:cs="Times New Roman"/>
        </w:rPr>
        <w:t xml:space="preserve">of such powers, which they call ‘executive underreach’, can be equally dangerous. </w:t>
      </w:r>
      <w:r w:rsidR="00BC1F8A" w:rsidRPr="00DF2B53">
        <w:rPr>
          <w:rFonts w:ascii="Times New Roman" w:hAnsi="Times New Roman" w:cs="Times New Roman"/>
        </w:rPr>
        <w:t xml:space="preserve">The authors emphasise that the </w:t>
      </w:r>
      <w:r w:rsidR="00904813" w:rsidRPr="00DF2B53">
        <w:rPr>
          <w:rFonts w:ascii="Times New Roman" w:hAnsi="Times New Roman" w:cs="Times New Roman"/>
        </w:rPr>
        <w:t>assessment of which executive actions count as under- or overreach is relative to the expectations which stem from the existing legal frameworks. Moreover, they submit that not all failures to manage the emergency should count as underreach, but only ‘situations where an executive sees a significant threat coming, has access to information about what might mitigate or avert the threat along with the power to set a potentially effective plan in motion, and refuses to pursue such a plan’.</w:t>
      </w:r>
      <w:r w:rsidR="006904DA" w:rsidRPr="00DC52BD">
        <w:rPr>
          <w:rStyle w:val="FootnoteReference"/>
        </w:rPr>
        <w:footnoteReference w:id="22"/>
      </w:r>
      <w:r w:rsidR="00904813" w:rsidRPr="00DF2B53">
        <w:rPr>
          <w:rFonts w:ascii="Times New Roman" w:hAnsi="Times New Roman" w:cs="Times New Roman"/>
        </w:rPr>
        <w:t xml:space="preserve"> Thus, they acknowledge that ‘a minimal level of state capacity</w:t>
      </w:r>
      <w:r w:rsidR="00246AC2" w:rsidRPr="00DF2B53">
        <w:rPr>
          <w:rFonts w:ascii="Times New Roman" w:hAnsi="Times New Roman" w:cs="Times New Roman"/>
        </w:rPr>
        <w:t xml:space="preserve"> [which they define through authority and institutional resources]</w:t>
      </w:r>
      <w:r w:rsidR="00904813" w:rsidRPr="00DF2B53">
        <w:rPr>
          <w:rFonts w:ascii="Times New Roman" w:hAnsi="Times New Roman" w:cs="Times New Roman"/>
        </w:rPr>
        <w:t xml:space="preserve"> is a prerequisite […</w:t>
      </w:r>
      <w:r w:rsidR="00BC1F8A" w:rsidRPr="00DF2B53">
        <w:rPr>
          <w:rFonts w:ascii="Times New Roman" w:hAnsi="Times New Roman" w:cs="Times New Roman"/>
        </w:rPr>
        <w:t>;</w:t>
      </w:r>
      <w:r w:rsidR="00904813" w:rsidRPr="00DF2B53">
        <w:rPr>
          <w:rFonts w:ascii="Times New Roman" w:hAnsi="Times New Roman" w:cs="Times New Roman"/>
        </w:rPr>
        <w:t xml:space="preserve">] reasonably competent and </w:t>
      </w:r>
      <w:r w:rsidR="00246AC2" w:rsidRPr="00DF2B53">
        <w:rPr>
          <w:rFonts w:ascii="Times New Roman" w:hAnsi="Times New Roman" w:cs="Times New Roman"/>
        </w:rPr>
        <w:t xml:space="preserve">conscientious attempts </w:t>
      </w:r>
      <w:r w:rsidR="00246AC2" w:rsidRPr="00DF2B53">
        <w:rPr>
          <w:rFonts w:ascii="Times New Roman" w:hAnsi="Times New Roman" w:cs="Times New Roman"/>
        </w:rPr>
        <w:lastRenderedPageBreak/>
        <w:t xml:space="preserve">to address a problem that turn out to be unsuccessful are not </w:t>
      </w:r>
      <w:proofErr w:type="spellStart"/>
      <w:r w:rsidR="00246AC2" w:rsidRPr="00DF2B53">
        <w:rPr>
          <w:rFonts w:ascii="Times New Roman" w:hAnsi="Times New Roman" w:cs="Times New Roman"/>
        </w:rPr>
        <w:t>willful</w:t>
      </w:r>
      <w:proofErr w:type="spellEnd"/>
      <w:r w:rsidR="00246AC2" w:rsidRPr="00DF2B53">
        <w:rPr>
          <w:rFonts w:ascii="Times New Roman" w:hAnsi="Times New Roman" w:cs="Times New Roman"/>
        </w:rPr>
        <w:t xml:space="preserve"> failures’.</w:t>
      </w:r>
      <w:r w:rsidR="00E54CF3" w:rsidRPr="00DC52BD">
        <w:rPr>
          <w:rStyle w:val="FootnoteReference"/>
        </w:rPr>
        <w:footnoteReference w:id="23"/>
      </w:r>
      <w:r w:rsidR="00246AC2" w:rsidRPr="00DF2B53">
        <w:rPr>
          <w:rFonts w:ascii="Times New Roman" w:hAnsi="Times New Roman" w:cs="Times New Roman"/>
        </w:rPr>
        <w:t xml:space="preserve"> Hence, executive underreach, similarly to overreach, requires a degree of malice, or at least ignorance, by the political leaders. </w:t>
      </w:r>
      <w:r w:rsidR="004C1B6D">
        <w:rPr>
          <w:rFonts w:ascii="Times New Roman" w:hAnsi="Times New Roman" w:cs="Times New Roman"/>
        </w:rPr>
        <w:t>E</w:t>
      </w:r>
      <w:r w:rsidR="00F10697" w:rsidRPr="00DF2B53">
        <w:rPr>
          <w:rFonts w:ascii="Times New Roman" w:hAnsi="Times New Roman" w:cs="Times New Roman"/>
        </w:rPr>
        <w:t>mpirical accounts of overreach (in Hungary) and underreach (in Brazil and the US)</w:t>
      </w:r>
      <w:r w:rsidR="004C1B6D">
        <w:rPr>
          <w:rFonts w:ascii="Times New Roman" w:hAnsi="Times New Roman" w:cs="Times New Roman"/>
        </w:rPr>
        <w:t xml:space="preserve"> illustrate this argument</w:t>
      </w:r>
      <w:r w:rsidR="00F10697" w:rsidRPr="00DF2B53">
        <w:rPr>
          <w:rFonts w:ascii="Times New Roman" w:hAnsi="Times New Roman" w:cs="Times New Roman"/>
        </w:rPr>
        <w:t>.</w:t>
      </w:r>
      <w:r w:rsidR="00F10697" w:rsidRPr="00DC52BD">
        <w:rPr>
          <w:rStyle w:val="FootnoteReference"/>
        </w:rPr>
        <w:footnoteReference w:id="24"/>
      </w:r>
    </w:p>
    <w:p w14:paraId="38BADAB4" w14:textId="7364F677" w:rsidR="00904813" w:rsidRPr="00DF2B53" w:rsidRDefault="00904813" w:rsidP="00F43D38">
      <w:pPr>
        <w:jc w:val="both"/>
        <w:rPr>
          <w:rFonts w:ascii="Times New Roman" w:hAnsi="Times New Roman" w:cs="Times New Roman"/>
        </w:rPr>
      </w:pPr>
    </w:p>
    <w:p w14:paraId="4D5AA3CC" w14:textId="1823D23F" w:rsidR="001C0E72" w:rsidRPr="00DF2B53" w:rsidRDefault="00246AC2" w:rsidP="00F43D38">
      <w:pPr>
        <w:jc w:val="both"/>
        <w:rPr>
          <w:rFonts w:ascii="Times New Roman" w:hAnsi="Times New Roman" w:cs="Times New Roman"/>
        </w:rPr>
      </w:pPr>
      <w:proofErr w:type="spellStart"/>
      <w:r w:rsidRPr="00DF2B53">
        <w:rPr>
          <w:rFonts w:ascii="Times New Roman" w:hAnsi="Times New Roman" w:cs="Times New Roman"/>
        </w:rPr>
        <w:t>Pozen’s</w:t>
      </w:r>
      <w:proofErr w:type="spellEnd"/>
      <w:r w:rsidRPr="00DF2B53">
        <w:rPr>
          <w:rFonts w:ascii="Times New Roman" w:hAnsi="Times New Roman" w:cs="Times New Roman"/>
        </w:rPr>
        <w:t xml:space="preserve"> and </w:t>
      </w:r>
      <w:proofErr w:type="spellStart"/>
      <w:r w:rsidRPr="00DF2B53">
        <w:rPr>
          <w:rFonts w:ascii="Times New Roman" w:hAnsi="Times New Roman" w:cs="Times New Roman"/>
        </w:rPr>
        <w:t>Scheppele’s</w:t>
      </w:r>
      <w:proofErr w:type="spellEnd"/>
      <w:r w:rsidRPr="00DF2B53">
        <w:rPr>
          <w:rFonts w:ascii="Times New Roman" w:hAnsi="Times New Roman" w:cs="Times New Roman"/>
        </w:rPr>
        <w:t xml:space="preserve"> account </w:t>
      </w:r>
      <w:r w:rsidR="00444425" w:rsidRPr="00DF2B53">
        <w:rPr>
          <w:rFonts w:ascii="Times New Roman" w:hAnsi="Times New Roman" w:cs="Times New Roman"/>
        </w:rPr>
        <w:t xml:space="preserve">has been invoked in several subsequent studies. For instance, </w:t>
      </w:r>
      <w:proofErr w:type="spellStart"/>
      <w:r w:rsidR="00EB3493" w:rsidRPr="00DF2B53">
        <w:rPr>
          <w:rFonts w:ascii="Times New Roman" w:hAnsi="Times New Roman" w:cs="Times New Roman"/>
        </w:rPr>
        <w:t>Halmai</w:t>
      </w:r>
      <w:proofErr w:type="spellEnd"/>
      <w:r w:rsidR="00815CA5" w:rsidRPr="00DF2B53">
        <w:rPr>
          <w:rFonts w:ascii="Times New Roman" w:hAnsi="Times New Roman" w:cs="Times New Roman"/>
        </w:rPr>
        <w:t xml:space="preserve"> build</w:t>
      </w:r>
      <w:r w:rsidR="00F07512">
        <w:rPr>
          <w:rFonts w:ascii="Times New Roman" w:hAnsi="Times New Roman" w:cs="Times New Roman"/>
        </w:rPr>
        <w:t>s</w:t>
      </w:r>
      <w:r w:rsidR="00815CA5" w:rsidRPr="00DF2B53">
        <w:rPr>
          <w:rFonts w:ascii="Times New Roman" w:hAnsi="Times New Roman" w:cs="Times New Roman"/>
        </w:rPr>
        <w:t xml:space="preserve"> on this work by distinguishing</w:t>
      </w:r>
      <w:r w:rsidR="00EB3493" w:rsidRPr="00DF2B53">
        <w:rPr>
          <w:rFonts w:ascii="Times New Roman" w:hAnsi="Times New Roman" w:cs="Times New Roman"/>
        </w:rPr>
        <w:t xml:space="preserve"> underreach and overreach from ‘underreaction’ and ‘overreaction’</w:t>
      </w:r>
      <w:r w:rsidR="00F07512">
        <w:rPr>
          <w:rFonts w:ascii="Times New Roman" w:hAnsi="Times New Roman" w:cs="Times New Roman"/>
        </w:rPr>
        <w:t>. T</w:t>
      </w:r>
      <w:r w:rsidR="00EB3493" w:rsidRPr="00DF2B53">
        <w:rPr>
          <w:rFonts w:ascii="Times New Roman" w:hAnsi="Times New Roman" w:cs="Times New Roman"/>
        </w:rPr>
        <w:t>he latter</w:t>
      </w:r>
      <w:r w:rsidR="00F15B3F" w:rsidRPr="00DF2B53">
        <w:rPr>
          <w:rFonts w:ascii="Times New Roman" w:hAnsi="Times New Roman" w:cs="Times New Roman"/>
        </w:rPr>
        <w:t xml:space="preserve">, unlike the former, </w:t>
      </w:r>
      <w:r w:rsidR="00F07512">
        <w:rPr>
          <w:rFonts w:ascii="Times New Roman" w:hAnsi="Times New Roman" w:cs="Times New Roman"/>
        </w:rPr>
        <w:t xml:space="preserve">are </w:t>
      </w:r>
      <w:r w:rsidR="00F15B3F" w:rsidRPr="00DF2B53">
        <w:rPr>
          <w:rFonts w:ascii="Times New Roman" w:hAnsi="Times New Roman" w:cs="Times New Roman"/>
        </w:rPr>
        <w:t xml:space="preserve">not dependent on </w:t>
      </w:r>
      <w:r w:rsidR="00815CA5" w:rsidRPr="00DF2B53">
        <w:rPr>
          <w:rFonts w:ascii="Times New Roman" w:hAnsi="Times New Roman" w:cs="Times New Roman"/>
        </w:rPr>
        <w:t>the leaders</w:t>
      </w:r>
      <w:r w:rsidR="00F07512">
        <w:rPr>
          <w:rFonts w:ascii="Times New Roman" w:hAnsi="Times New Roman" w:cs="Times New Roman"/>
        </w:rPr>
        <w:t>’</w:t>
      </w:r>
      <w:r w:rsidR="00815CA5" w:rsidRPr="00DF2B53">
        <w:rPr>
          <w:rFonts w:ascii="Times New Roman" w:hAnsi="Times New Roman" w:cs="Times New Roman"/>
        </w:rPr>
        <w:t xml:space="preserve"> motivations and evaluated only on output-based indicators.</w:t>
      </w:r>
      <w:r w:rsidR="003D754F" w:rsidRPr="00DC52BD">
        <w:rPr>
          <w:rStyle w:val="FootnoteReference"/>
        </w:rPr>
        <w:footnoteReference w:id="25"/>
      </w:r>
      <w:r w:rsidR="00815CA5" w:rsidRPr="00DF2B53">
        <w:rPr>
          <w:rFonts w:ascii="Times New Roman" w:hAnsi="Times New Roman" w:cs="Times New Roman"/>
        </w:rPr>
        <w:t xml:space="preserve"> </w:t>
      </w:r>
      <w:r w:rsidR="00192D07" w:rsidRPr="00DF2B53">
        <w:rPr>
          <w:rFonts w:ascii="Times New Roman" w:hAnsi="Times New Roman" w:cs="Times New Roman"/>
        </w:rPr>
        <w:t>Another similar distinction is between ‘emergency-affirming violence’ and ‘emergency-denying violence’. This dichotomy</w:t>
      </w:r>
      <w:r w:rsidR="00091AE7" w:rsidRPr="00DF2B53">
        <w:rPr>
          <w:rFonts w:ascii="Times New Roman" w:hAnsi="Times New Roman" w:cs="Times New Roman"/>
        </w:rPr>
        <w:t xml:space="preserve">, more sharply than </w:t>
      </w:r>
      <w:proofErr w:type="spellStart"/>
      <w:r w:rsidR="00091AE7" w:rsidRPr="00DF2B53">
        <w:rPr>
          <w:rFonts w:ascii="Times New Roman" w:hAnsi="Times New Roman" w:cs="Times New Roman"/>
        </w:rPr>
        <w:t>Pozen’s</w:t>
      </w:r>
      <w:proofErr w:type="spellEnd"/>
      <w:r w:rsidR="00091AE7" w:rsidRPr="00DF2B53">
        <w:rPr>
          <w:rFonts w:ascii="Times New Roman" w:hAnsi="Times New Roman" w:cs="Times New Roman"/>
        </w:rPr>
        <w:t xml:space="preserve"> and </w:t>
      </w:r>
      <w:proofErr w:type="spellStart"/>
      <w:r w:rsidR="00091AE7" w:rsidRPr="00DF2B53">
        <w:rPr>
          <w:rFonts w:ascii="Times New Roman" w:hAnsi="Times New Roman" w:cs="Times New Roman"/>
        </w:rPr>
        <w:t>Scheppele’s</w:t>
      </w:r>
      <w:proofErr w:type="spellEnd"/>
      <w:r w:rsidR="00091AE7" w:rsidRPr="00DF2B53">
        <w:rPr>
          <w:rFonts w:ascii="Times New Roman" w:hAnsi="Times New Roman" w:cs="Times New Roman"/>
        </w:rPr>
        <w:t xml:space="preserve">, highlights that (executive) </w:t>
      </w:r>
      <w:r w:rsidR="00091AE7" w:rsidRPr="00DF2B53">
        <w:rPr>
          <w:rFonts w:ascii="Times New Roman" w:hAnsi="Times New Roman" w:cs="Times New Roman"/>
          <w:i/>
          <w:iCs/>
        </w:rPr>
        <w:t xml:space="preserve">inaction </w:t>
      </w:r>
      <w:r w:rsidR="00091AE7" w:rsidRPr="00DF2B53">
        <w:rPr>
          <w:rFonts w:ascii="Times New Roman" w:hAnsi="Times New Roman" w:cs="Times New Roman"/>
        </w:rPr>
        <w:t xml:space="preserve">is </w:t>
      </w:r>
      <w:r w:rsidR="00091AE7" w:rsidRPr="00DF2B53">
        <w:rPr>
          <w:rFonts w:ascii="Times New Roman" w:hAnsi="Times New Roman" w:cs="Times New Roman"/>
          <w:i/>
          <w:iCs/>
        </w:rPr>
        <w:t xml:space="preserve">a form of action, </w:t>
      </w:r>
      <w:r w:rsidR="00091AE7" w:rsidRPr="00DF2B53">
        <w:rPr>
          <w:rFonts w:ascii="Times New Roman" w:hAnsi="Times New Roman" w:cs="Times New Roman"/>
        </w:rPr>
        <w:t xml:space="preserve">a matter of choice with consequences that may include </w:t>
      </w:r>
      <w:r w:rsidR="000C4E59" w:rsidRPr="00DF2B53">
        <w:rPr>
          <w:rFonts w:ascii="Times New Roman" w:hAnsi="Times New Roman" w:cs="Times New Roman"/>
        </w:rPr>
        <w:t xml:space="preserve">discrimination, </w:t>
      </w:r>
      <w:proofErr w:type="gramStart"/>
      <w:r w:rsidR="000C4E59" w:rsidRPr="00DF2B53">
        <w:rPr>
          <w:rFonts w:ascii="Times New Roman" w:hAnsi="Times New Roman" w:cs="Times New Roman"/>
        </w:rPr>
        <w:t>grief</w:t>
      </w:r>
      <w:proofErr w:type="gramEnd"/>
      <w:r w:rsidR="000C4E59" w:rsidRPr="00DF2B53">
        <w:rPr>
          <w:rFonts w:ascii="Times New Roman" w:hAnsi="Times New Roman" w:cs="Times New Roman"/>
        </w:rPr>
        <w:t xml:space="preserve"> and suffering.</w:t>
      </w:r>
      <w:r w:rsidR="000C4E59" w:rsidRPr="00DC52BD">
        <w:rPr>
          <w:rStyle w:val="FootnoteReference"/>
        </w:rPr>
        <w:footnoteReference w:id="26"/>
      </w:r>
      <w:r w:rsidR="000C4E59" w:rsidRPr="00DF2B53">
        <w:rPr>
          <w:rFonts w:ascii="Times New Roman" w:hAnsi="Times New Roman" w:cs="Times New Roman"/>
        </w:rPr>
        <w:t xml:space="preserve"> </w:t>
      </w:r>
      <w:proofErr w:type="spellStart"/>
      <w:r w:rsidR="00BA2E20" w:rsidRPr="00DF2B53">
        <w:rPr>
          <w:rFonts w:ascii="Times New Roman" w:hAnsi="Times New Roman" w:cs="Times New Roman"/>
        </w:rPr>
        <w:t>Atiles</w:t>
      </w:r>
      <w:proofErr w:type="spellEnd"/>
      <w:r w:rsidR="00BA2E20" w:rsidRPr="00DF2B53">
        <w:rPr>
          <w:rFonts w:ascii="Times New Roman" w:hAnsi="Times New Roman" w:cs="Times New Roman"/>
        </w:rPr>
        <w:t xml:space="preserve"> and Whyte, in a similar guise, </w:t>
      </w:r>
      <w:r w:rsidR="001739D7" w:rsidRPr="00DF2B53">
        <w:rPr>
          <w:rFonts w:ascii="Times New Roman" w:hAnsi="Times New Roman" w:cs="Times New Roman"/>
        </w:rPr>
        <w:t>mention ‘criminally negligent policies’</w:t>
      </w:r>
      <w:r w:rsidR="005A4BC1" w:rsidRPr="00DF2B53">
        <w:rPr>
          <w:rFonts w:ascii="Times New Roman" w:hAnsi="Times New Roman" w:cs="Times New Roman"/>
        </w:rPr>
        <w:t xml:space="preserve"> and a ‘regime of permission or legal framework’.</w:t>
      </w:r>
      <w:r w:rsidR="003D26E5" w:rsidRPr="00DC52BD">
        <w:rPr>
          <w:rStyle w:val="FootnoteReference"/>
        </w:rPr>
        <w:footnoteReference w:id="27"/>
      </w:r>
      <w:r w:rsidR="005A4BC1" w:rsidRPr="00DF2B53">
        <w:rPr>
          <w:rFonts w:ascii="Times New Roman" w:hAnsi="Times New Roman" w:cs="Times New Roman"/>
        </w:rPr>
        <w:t xml:space="preserve"> </w:t>
      </w:r>
    </w:p>
    <w:p w14:paraId="2DED0660" w14:textId="77777777" w:rsidR="001C0E72" w:rsidRPr="00DF2B53" w:rsidRDefault="001C0E72" w:rsidP="00F43D38">
      <w:pPr>
        <w:jc w:val="both"/>
        <w:rPr>
          <w:rFonts w:ascii="Times New Roman" w:hAnsi="Times New Roman" w:cs="Times New Roman"/>
        </w:rPr>
      </w:pPr>
    </w:p>
    <w:p w14:paraId="0E944763" w14:textId="04C06C8C" w:rsidR="00904813" w:rsidRPr="00DF2B53" w:rsidRDefault="000C4E59" w:rsidP="00F43D38">
      <w:pPr>
        <w:jc w:val="both"/>
        <w:rPr>
          <w:rFonts w:ascii="Times New Roman" w:hAnsi="Times New Roman" w:cs="Times New Roman"/>
        </w:rPr>
      </w:pPr>
      <w:r w:rsidRPr="00DF2B53">
        <w:rPr>
          <w:rFonts w:ascii="Times New Roman" w:hAnsi="Times New Roman" w:cs="Times New Roman"/>
        </w:rPr>
        <w:t xml:space="preserve">While this article sticks to </w:t>
      </w:r>
      <w:proofErr w:type="spellStart"/>
      <w:r w:rsidRPr="00DF2B53">
        <w:rPr>
          <w:rFonts w:ascii="Times New Roman" w:hAnsi="Times New Roman" w:cs="Times New Roman"/>
        </w:rPr>
        <w:t>Pozen</w:t>
      </w:r>
      <w:proofErr w:type="spellEnd"/>
      <w:r w:rsidRPr="00DF2B53">
        <w:rPr>
          <w:rFonts w:ascii="Times New Roman" w:hAnsi="Times New Roman" w:cs="Times New Roman"/>
        </w:rPr>
        <w:t xml:space="preserve"> and </w:t>
      </w:r>
      <w:proofErr w:type="spellStart"/>
      <w:r w:rsidRPr="00DF2B53">
        <w:rPr>
          <w:rFonts w:ascii="Times New Roman" w:hAnsi="Times New Roman" w:cs="Times New Roman"/>
        </w:rPr>
        <w:t>Scheppele</w:t>
      </w:r>
      <w:proofErr w:type="spellEnd"/>
      <w:r w:rsidR="00EF43AE">
        <w:rPr>
          <w:rFonts w:ascii="Times New Roman" w:hAnsi="Times New Roman" w:cs="Times New Roman"/>
        </w:rPr>
        <w:t xml:space="preserve"> who launched the debate</w:t>
      </w:r>
      <w:r w:rsidRPr="00DF2B53">
        <w:rPr>
          <w:rFonts w:ascii="Times New Roman" w:hAnsi="Times New Roman" w:cs="Times New Roman"/>
        </w:rPr>
        <w:t xml:space="preserve">, </w:t>
      </w:r>
      <w:r w:rsidR="00B47543" w:rsidRPr="00DF2B53">
        <w:rPr>
          <w:rFonts w:ascii="Times New Roman" w:hAnsi="Times New Roman" w:cs="Times New Roman"/>
        </w:rPr>
        <w:t xml:space="preserve">all </w:t>
      </w:r>
      <w:r w:rsidR="00EF43AE">
        <w:rPr>
          <w:rFonts w:ascii="Times New Roman" w:hAnsi="Times New Roman" w:cs="Times New Roman"/>
        </w:rPr>
        <w:t xml:space="preserve">above </w:t>
      </w:r>
      <w:r w:rsidR="00B47543" w:rsidRPr="00DF2B53">
        <w:rPr>
          <w:rFonts w:ascii="Times New Roman" w:hAnsi="Times New Roman" w:cs="Times New Roman"/>
        </w:rPr>
        <w:t xml:space="preserve">dichotomies raise </w:t>
      </w:r>
      <w:r w:rsidR="001C0E72" w:rsidRPr="00DF2B53">
        <w:rPr>
          <w:rFonts w:ascii="Times New Roman" w:hAnsi="Times New Roman" w:cs="Times New Roman"/>
        </w:rPr>
        <w:t>two key puzzles</w:t>
      </w:r>
      <w:r w:rsidR="00246AC2" w:rsidRPr="00DF2B53">
        <w:rPr>
          <w:rFonts w:ascii="Times New Roman" w:hAnsi="Times New Roman" w:cs="Times New Roman"/>
        </w:rPr>
        <w:t>.</w:t>
      </w:r>
      <w:r w:rsidR="00246AC2" w:rsidRPr="00DC52BD">
        <w:rPr>
          <w:rStyle w:val="FootnoteReference"/>
        </w:rPr>
        <w:footnoteReference w:id="28"/>
      </w:r>
      <w:r w:rsidR="00246AC2" w:rsidRPr="00DF2B53">
        <w:rPr>
          <w:rFonts w:ascii="Times New Roman" w:hAnsi="Times New Roman" w:cs="Times New Roman"/>
        </w:rPr>
        <w:t xml:space="preserve"> Firstly, </w:t>
      </w:r>
      <w:r w:rsidR="002B76D3" w:rsidRPr="00DF2B53">
        <w:rPr>
          <w:rFonts w:ascii="Times New Roman" w:hAnsi="Times New Roman" w:cs="Times New Roman"/>
        </w:rPr>
        <w:t xml:space="preserve">a consistent pattern might not be visible within a single executive, and so combinations of overreach and underreach may occur. </w:t>
      </w:r>
      <w:proofErr w:type="spellStart"/>
      <w:r w:rsidR="002B76D3" w:rsidRPr="00DF2B53">
        <w:rPr>
          <w:rFonts w:ascii="Times New Roman" w:hAnsi="Times New Roman" w:cs="Times New Roman"/>
        </w:rPr>
        <w:t>Pozen</w:t>
      </w:r>
      <w:proofErr w:type="spellEnd"/>
      <w:r w:rsidR="002B76D3" w:rsidRPr="00DF2B53">
        <w:rPr>
          <w:rFonts w:ascii="Times New Roman" w:hAnsi="Times New Roman" w:cs="Times New Roman"/>
        </w:rPr>
        <w:t xml:space="preserve"> and </w:t>
      </w:r>
      <w:proofErr w:type="spellStart"/>
      <w:r w:rsidR="002B76D3" w:rsidRPr="00DF2B53">
        <w:rPr>
          <w:rFonts w:ascii="Times New Roman" w:hAnsi="Times New Roman" w:cs="Times New Roman"/>
        </w:rPr>
        <w:t>Scheppele</w:t>
      </w:r>
      <w:proofErr w:type="spellEnd"/>
      <w:r w:rsidR="002B76D3" w:rsidRPr="00DF2B53">
        <w:rPr>
          <w:rFonts w:ascii="Times New Roman" w:hAnsi="Times New Roman" w:cs="Times New Roman"/>
        </w:rPr>
        <w:t xml:space="preserve"> themselves seem to admit this</w:t>
      </w:r>
      <w:r w:rsidR="00EF43AE">
        <w:rPr>
          <w:rFonts w:ascii="Times New Roman" w:hAnsi="Times New Roman" w:cs="Times New Roman"/>
        </w:rPr>
        <w:t>.</w:t>
      </w:r>
      <w:r w:rsidR="002B76D3" w:rsidRPr="00DC52BD">
        <w:rPr>
          <w:rStyle w:val="FootnoteReference"/>
        </w:rPr>
        <w:footnoteReference w:id="29"/>
      </w:r>
      <w:r w:rsidR="002B76D3" w:rsidRPr="00DF2B53">
        <w:rPr>
          <w:rFonts w:ascii="Times New Roman" w:hAnsi="Times New Roman" w:cs="Times New Roman"/>
        </w:rPr>
        <w:t xml:space="preserve"> Secondly,</w:t>
      </w:r>
      <w:r w:rsidR="00D620C9" w:rsidRPr="00DF2B53">
        <w:rPr>
          <w:rFonts w:ascii="Times New Roman" w:hAnsi="Times New Roman" w:cs="Times New Roman"/>
        </w:rPr>
        <w:t xml:space="preserve"> </w:t>
      </w:r>
      <w:r w:rsidR="002B76D3" w:rsidRPr="00DF2B53">
        <w:rPr>
          <w:rFonts w:ascii="Times New Roman" w:hAnsi="Times New Roman" w:cs="Times New Roman"/>
        </w:rPr>
        <w:t xml:space="preserve">the threshold they pose for underreach (the cases of Trump and Bolsonaro) is very high, which might cause assessments to endorse executive actions which do not blatantly ignore the </w:t>
      </w:r>
      <w:r w:rsidR="00C3082E" w:rsidRPr="00DF2B53">
        <w:rPr>
          <w:rFonts w:ascii="Times New Roman" w:hAnsi="Times New Roman" w:cs="Times New Roman"/>
        </w:rPr>
        <w:t>emergency, but yet fall short of commitments to govern.</w:t>
      </w:r>
      <w:r w:rsidR="00C3082E" w:rsidRPr="00DC52BD">
        <w:rPr>
          <w:rStyle w:val="FootnoteReference"/>
        </w:rPr>
        <w:footnoteReference w:id="30"/>
      </w:r>
      <w:r w:rsidR="002B76D3" w:rsidRPr="00DF2B53">
        <w:rPr>
          <w:rFonts w:ascii="Times New Roman" w:hAnsi="Times New Roman" w:cs="Times New Roman"/>
        </w:rPr>
        <w:t xml:space="preserve"> </w:t>
      </w:r>
      <w:r w:rsidR="00275954" w:rsidRPr="00DF2B53">
        <w:rPr>
          <w:rFonts w:ascii="Times New Roman" w:hAnsi="Times New Roman" w:cs="Times New Roman"/>
        </w:rPr>
        <w:t>In Ignatieff’s words, ‘[o]</w:t>
      </w:r>
      <w:proofErr w:type="spellStart"/>
      <w:r w:rsidR="00275954" w:rsidRPr="00DF2B53">
        <w:rPr>
          <w:rFonts w:ascii="Times New Roman" w:hAnsi="Times New Roman" w:cs="Times New Roman"/>
        </w:rPr>
        <w:t>ur</w:t>
      </w:r>
      <w:proofErr w:type="spellEnd"/>
      <w:r w:rsidR="00275954" w:rsidRPr="00DF2B53">
        <w:rPr>
          <w:rFonts w:ascii="Times New Roman" w:hAnsi="Times New Roman" w:cs="Times New Roman"/>
        </w:rPr>
        <w:t xml:space="preserve"> resigned tolerance for the failures of leaders follows from what we know about ourselves. We are prone to panic at threats that prove harmless, only to be blind-sided by events we should have foreseen.’</w:t>
      </w:r>
      <w:r w:rsidR="00275954" w:rsidRPr="00DC52BD">
        <w:rPr>
          <w:rStyle w:val="FootnoteReference"/>
        </w:rPr>
        <w:footnoteReference w:id="31"/>
      </w:r>
      <w:r w:rsidR="00275954" w:rsidRPr="00DF2B53">
        <w:rPr>
          <w:rFonts w:ascii="Times New Roman" w:hAnsi="Times New Roman" w:cs="Times New Roman"/>
        </w:rPr>
        <w:t xml:space="preserve"> </w:t>
      </w:r>
      <w:r w:rsidR="002B76D3" w:rsidRPr="00DF2B53">
        <w:rPr>
          <w:rFonts w:ascii="Times New Roman" w:hAnsi="Times New Roman" w:cs="Times New Roman"/>
        </w:rPr>
        <w:t xml:space="preserve">This, however, might result in overly low demands </w:t>
      </w:r>
      <w:r w:rsidR="0068281E">
        <w:rPr>
          <w:rFonts w:ascii="Times New Roman" w:hAnsi="Times New Roman" w:cs="Times New Roman"/>
        </w:rPr>
        <w:t>towards</w:t>
      </w:r>
      <w:r w:rsidR="002B76D3" w:rsidRPr="00DF2B53">
        <w:rPr>
          <w:rFonts w:ascii="Times New Roman" w:hAnsi="Times New Roman" w:cs="Times New Roman"/>
        </w:rPr>
        <w:t xml:space="preserve"> executives, where any action that does not blatantly overstep formal powers and </w:t>
      </w:r>
      <w:r w:rsidR="00D620C9" w:rsidRPr="00DF2B53">
        <w:rPr>
          <w:rFonts w:ascii="Times New Roman" w:hAnsi="Times New Roman" w:cs="Times New Roman"/>
        </w:rPr>
        <w:t xml:space="preserve">signals some minimum degree of care suffices </w:t>
      </w:r>
      <w:r w:rsidR="0068281E">
        <w:rPr>
          <w:rFonts w:ascii="Times New Roman" w:hAnsi="Times New Roman" w:cs="Times New Roman"/>
        </w:rPr>
        <w:t>to free the</w:t>
      </w:r>
      <w:r w:rsidR="00D620C9" w:rsidRPr="00DF2B53">
        <w:rPr>
          <w:rFonts w:ascii="Times New Roman" w:hAnsi="Times New Roman" w:cs="Times New Roman"/>
        </w:rPr>
        <w:t xml:space="preserve"> executive from criticism. The second puzzle is particularly acute in regimes where the executives have declared a </w:t>
      </w:r>
      <w:proofErr w:type="spellStart"/>
      <w:r w:rsidR="00D620C9" w:rsidRPr="00DF2B53">
        <w:rPr>
          <w:rFonts w:ascii="Times New Roman" w:hAnsi="Times New Roman" w:cs="Times New Roman"/>
        </w:rPr>
        <w:t>SoE</w:t>
      </w:r>
      <w:proofErr w:type="spellEnd"/>
      <w:r w:rsidR="00D620C9" w:rsidRPr="00DF2B53">
        <w:rPr>
          <w:rFonts w:ascii="Times New Roman" w:hAnsi="Times New Roman" w:cs="Times New Roman"/>
        </w:rPr>
        <w:t xml:space="preserve">. A </w:t>
      </w:r>
      <w:proofErr w:type="spellStart"/>
      <w:r w:rsidR="00D620C9" w:rsidRPr="00DF2B53">
        <w:rPr>
          <w:rFonts w:ascii="Times New Roman" w:hAnsi="Times New Roman" w:cs="Times New Roman"/>
        </w:rPr>
        <w:t>SoE</w:t>
      </w:r>
      <w:proofErr w:type="spellEnd"/>
      <w:r w:rsidR="00D620C9" w:rsidRPr="00DF2B53">
        <w:rPr>
          <w:rFonts w:ascii="Times New Roman" w:hAnsi="Times New Roman" w:cs="Times New Roman"/>
        </w:rPr>
        <w:t xml:space="preserve">, </w:t>
      </w:r>
      <w:r w:rsidR="00303D0D">
        <w:rPr>
          <w:rFonts w:ascii="Times New Roman" w:hAnsi="Times New Roman" w:cs="Times New Roman"/>
        </w:rPr>
        <w:t>which</w:t>
      </w:r>
      <w:r w:rsidR="00D620C9" w:rsidRPr="00DF2B53">
        <w:rPr>
          <w:rFonts w:ascii="Times New Roman" w:hAnsi="Times New Roman" w:cs="Times New Roman"/>
        </w:rPr>
        <w:t xml:space="preserve"> centrali</w:t>
      </w:r>
      <w:r w:rsidR="00FD7540" w:rsidRPr="00DF2B53">
        <w:rPr>
          <w:rFonts w:ascii="Times New Roman" w:hAnsi="Times New Roman" w:cs="Times New Roman"/>
        </w:rPr>
        <w:t>s</w:t>
      </w:r>
      <w:r w:rsidR="00D620C9" w:rsidRPr="00DF2B53">
        <w:rPr>
          <w:rFonts w:ascii="Times New Roman" w:hAnsi="Times New Roman" w:cs="Times New Roman"/>
        </w:rPr>
        <w:t>es executive powers</w:t>
      </w:r>
      <w:r w:rsidR="00332F25" w:rsidRPr="00DF2B53">
        <w:rPr>
          <w:rFonts w:ascii="Times New Roman" w:hAnsi="Times New Roman" w:cs="Times New Roman"/>
        </w:rPr>
        <w:t xml:space="preserve"> and amounts to </w:t>
      </w:r>
      <w:r w:rsidR="00170A74" w:rsidRPr="00DF2B53">
        <w:rPr>
          <w:rFonts w:ascii="Times New Roman" w:hAnsi="Times New Roman" w:cs="Times New Roman"/>
        </w:rPr>
        <w:t>constraining democracy in (at best) the name of long-term protection of lives and the regime’s sustainability</w:t>
      </w:r>
      <w:r w:rsidR="00D620C9" w:rsidRPr="00DF2B53">
        <w:rPr>
          <w:rFonts w:ascii="Times New Roman" w:hAnsi="Times New Roman" w:cs="Times New Roman"/>
        </w:rPr>
        <w:t>, seems to exacerbate the dangers of executive overreach, but minimi</w:t>
      </w:r>
      <w:r w:rsidR="00FD7540" w:rsidRPr="00DF2B53">
        <w:rPr>
          <w:rFonts w:ascii="Times New Roman" w:hAnsi="Times New Roman" w:cs="Times New Roman"/>
        </w:rPr>
        <w:t>s</w:t>
      </w:r>
      <w:r w:rsidR="00D620C9" w:rsidRPr="00DF2B53">
        <w:rPr>
          <w:rFonts w:ascii="Times New Roman" w:hAnsi="Times New Roman" w:cs="Times New Roman"/>
        </w:rPr>
        <w:t xml:space="preserve">e the risks of underreach. </w:t>
      </w:r>
      <w:r w:rsidR="00D620C9" w:rsidRPr="00DF2B53">
        <w:rPr>
          <w:rFonts w:ascii="Times New Roman" w:hAnsi="Times New Roman" w:cs="Times New Roman"/>
        </w:rPr>
        <w:lastRenderedPageBreak/>
        <w:t xml:space="preserve">Yet, alone it is a constitutional instrument that needs to be filled with concrete </w:t>
      </w:r>
      <w:proofErr w:type="gramStart"/>
      <w:r w:rsidR="008947A0" w:rsidRPr="00DF2B53">
        <w:rPr>
          <w:rFonts w:ascii="Times New Roman" w:hAnsi="Times New Roman" w:cs="Times New Roman"/>
        </w:rPr>
        <w:t>practices</w:t>
      </w:r>
      <w:r w:rsidR="00BF166A" w:rsidRPr="00DF2B53">
        <w:rPr>
          <w:rFonts w:ascii="Times New Roman" w:hAnsi="Times New Roman" w:cs="Times New Roman"/>
        </w:rPr>
        <w:t>, and</w:t>
      </w:r>
      <w:proofErr w:type="gramEnd"/>
      <w:r w:rsidR="00BF166A" w:rsidRPr="00DF2B53">
        <w:rPr>
          <w:rFonts w:ascii="Times New Roman" w:hAnsi="Times New Roman" w:cs="Times New Roman"/>
        </w:rPr>
        <w:t xml:space="preserve"> is shaped by</w:t>
      </w:r>
      <w:r w:rsidR="00303D0D">
        <w:rPr>
          <w:rFonts w:ascii="Times New Roman" w:hAnsi="Times New Roman" w:cs="Times New Roman"/>
        </w:rPr>
        <w:t xml:space="preserve"> </w:t>
      </w:r>
      <w:r w:rsidR="00BF166A" w:rsidRPr="00DF2B53">
        <w:rPr>
          <w:rFonts w:ascii="Times New Roman" w:hAnsi="Times New Roman" w:cs="Times New Roman"/>
        </w:rPr>
        <w:t xml:space="preserve">political leaders’ capacities to respond to the emergency, </w:t>
      </w:r>
      <w:r w:rsidR="00862F50" w:rsidRPr="00DF2B53">
        <w:rPr>
          <w:rFonts w:ascii="Times New Roman" w:hAnsi="Times New Roman" w:cs="Times New Roman"/>
        </w:rPr>
        <w:t xml:space="preserve">and the </w:t>
      </w:r>
      <w:r w:rsidR="00303D0D">
        <w:rPr>
          <w:rFonts w:ascii="Times New Roman" w:hAnsi="Times New Roman" w:cs="Times New Roman"/>
        </w:rPr>
        <w:t xml:space="preserve">societal </w:t>
      </w:r>
      <w:r w:rsidR="00862F50" w:rsidRPr="00DF2B53">
        <w:rPr>
          <w:rFonts w:ascii="Times New Roman" w:hAnsi="Times New Roman" w:cs="Times New Roman"/>
        </w:rPr>
        <w:t>authority of the legal regulations</w:t>
      </w:r>
      <w:r w:rsidR="00D620C9" w:rsidRPr="00DF2B53">
        <w:rPr>
          <w:rFonts w:ascii="Times New Roman" w:hAnsi="Times New Roman" w:cs="Times New Roman"/>
        </w:rPr>
        <w:t>.</w:t>
      </w:r>
      <w:r w:rsidR="006B60DB" w:rsidRPr="00DC52BD">
        <w:rPr>
          <w:rStyle w:val="FootnoteReference"/>
        </w:rPr>
        <w:footnoteReference w:id="32"/>
      </w:r>
      <w:r w:rsidR="00E15907" w:rsidRPr="00DF2B53">
        <w:rPr>
          <w:rFonts w:ascii="Times New Roman" w:hAnsi="Times New Roman" w:cs="Times New Roman"/>
        </w:rPr>
        <w:t xml:space="preserve"> Recogni</w:t>
      </w:r>
      <w:r w:rsidR="00FD7540" w:rsidRPr="00DF2B53">
        <w:rPr>
          <w:rFonts w:ascii="Times New Roman" w:hAnsi="Times New Roman" w:cs="Times New Roman"/>
        </w:rPr>
        <w:t>s</w:t>
      </w:r>
      <w:r w:rsidR="00E15907" w:rsidRPr="00DF2B53">
        <w:rPr>
          <w:rFonts w:ascii="Times New Roman" w:hAnsi="Times New Roman" w:cs="Times New Roman"/>
        </w:rPr>
        <w:t xml:space="preserve">ing this ‘empty shell’ feature of the </w:t>
      </w:r>
      <w:proofErr w:type="spellStart"/>
      <w:r w:rsidR="00E15907" w:rsidRPr="00DF2B53">
        <w:rPr>
          <w:rFonts w:ascii="Times New Roman" w:hAnsi="Times New Roman" w:cs="Times New Roman"/>
        </w:rPr>
        <w:t>SoE</w:t>
      </w:r>
      <w:proofErr w:type="spellEnd"/>
      <w:r w:rsidR="009122DD" w:rsidRPr="00DF2B53">
        <w:rPr>
          <w:rFonts w:ascii="Times New Roman" w:hAnsi="Times New Roman" w:cs="Times New Roman"/>
        </w:rPr>
        <w:t xml:space="preserve"> invites a more </w:t>
      </w:r>
      <w:r w:rsidR="00D620C9" w:rsidRPr="00DF2B53">
        <w:rPr>
          <w:rFonts w:ascii="Times New Roman" w:hAnsi="Times New Roman" w:cs="Times New Roman"/>
        </w:rPr>
        <w:t xml:space="preserve">nuanced account of how executive action during </w:t>
      </w:r>
      <w:proofErr w:type="spellStart"/>
      <w:r w:rsidR="00D620C9" w:rsidRPr="00DF2B53">
        <w:rPr>
          <w:rFonts w:ascii="Times New Roman" w:hAnsi="Times New Roman" w:cs="Times New Roman"/>
        </w:rPr>
        <w:t>SoE</w:t>
      </w:r>
      <w:proofErr w:type="spellEnd"/>
      <w:r w:rsidR="00D620C9" w:rsidRPr="00DF2B53">
        <w:rPr>
          <w:rFonts w:ascii="Times New Roman" w:hAnsi="Times New Roman" w:cs="Times New Roman"/>
        </w:rPr>
        <w:t xml:space="preserve"> relates to overreach and underreach. </w:t>
      </w:r>
      <w:r w:rsidR="00D05922">
        <w:rPr>
          <w:rFonts w:ascii="Times New Roman" w:hAnsi="Times New Roman" w:cs="Times New Roman"/>
        </w:rPr>
        <w:t>Studying</w:t>
      </w:r>
      <w:r w:rsidR="00D620C9" w:rsidRPr="00DF2B53">
        <w:rPr>
          <w:rFonts w:ascii="Times New Roman" w:hAnsi="Times New Roman" w:cs="Times New Roman"/>
        </w:rPr>
        <w:t xml:space="preserve"> regimes where </w:t>
      </w:r>
      <w:proofErr w:type="spellStart"/>
      <w:r w:rsidR="00D620C9" w:rsidRPr="00DF2B53">
        <w:rPr>
          <w:rFonts w:ascii="Times New Roman" w:hAnsi="Times New Roman" w:cs="Times New Roman"/>
        </w:rPr>
        <w:t>SoE</w:t>
      </w:r>
      <w:proofErr w:type="spellEnd"/>
      <w:r w:rsidR="00D620C9" w:rsidRPr="00DF2B53">
        <w:rPr>
          <w:rFonts w:ascii="Times New Roman" w:hAnsi="Times New Roman" w:cs="Times New Roman"/>
        </w:rPr>
        <w:t xml:space="preserve"> were declared, but which do not display a clear trajectory of overreach or underreach </w:t>
      </w:r>
      <w:r w:rsidR="00E15907" w:rsidRPr="00DF2B53">
        <w:rPr>
          <w:rFonts w:ascii="Times New Roman" w:hAnsi="Times New Roman" w:cs="Times New Roman"/>
        </w:rPr>
        <w:t xml:space="preserve">helps build such an account. </w:t>
      </w:r>
    </w:p>
    <w:p w14:paraId="1F89CA43" w14:textId="04212BCF" w:rsidR="0024699A" w:rsidRPr="00DF2B53" w:rsidRDefault="0024699A" w:rsidP="00F43D38">
      <w:pPr>
        <w:jc w:val="both"/>
        <w:rPr>
          <w:rFonts w:ascii="Times New Roman" w:hAnsi="Times New Roman" w:cs="Times New Roman"/>
        </w:rPr>
      </w:pPr>
    </w:p>
    <w:p w14:paraId="222B4B59" w14:textId="5273F403" w:rsidR="003F1C3F" w:rsidRPr="00DF2B53" w:rsidRDefault="009122DD" w:rsidP="00F43D38">
      <w:pPr>
        <w:jc w:val="both"/>
        <w:rPr>
          <w:rFonts w:ascii="Times New Roman" w:hAnsi="Times New Roman" w:cs="Times New Roman"/>
        </w:rPr>
      </w:pPr>
      <w:r w:rsidRPr="00DF2B53">
        <w:rPr>
          <w:rFonts w:ascii="Times New Roman" w:hAnsi="Times New Roman" w:cs="Times New Roman"/>
        </w:rPr>
        <w:t xml:space="preserve">The utility of </w:t>
      </w:r>
      <w:r w:rsidR="00230B32" w:rsidRPr="00DF2B53">
        <w:rPr>
          <w:rFonts w:ascii="Times New Roman" w:hAnsi="Times New Roman" w:cs="Times New Roman"/>
        </w:rPr>
        <w:t>the nuanced account</w:t>
      </w:r>
      <w:r w:rsidR="0024699A" w:rsidRPr="00DF2B53">
        <w:rPr>
          <w:rFonts w:ascii="Times New Roman" w:hAnsi="Times New Roman" w:cs="Times New Roman"/>
        </w:rPr>
        <w:t xml:space="preserve"> is underscored by Jan-Werner Müller’s criticism of </w:t>
      </w:r>
      <w:proofErr w:type="spellStart"/>
      <w:r w:rsidR="0024699A" w:rsidRPr="00DF2B53">
        <w:rPr>
          <w:rFonts w:ascii="Times New Roman" w:hAnsi="Times New Roman" w:cs="Times New Roman"/>
        </w:rPr>
        <w:t>Pozen</w:t>
      </w:r>
      <w:proofErr w:type="spellEnd"/>
      <w:r w:rsidR="0024699A" w:rsidRPr="00DF2B53">
        <w:rPr>
          <w:rFonts w:ascii="Times New Roman" w:hAnsi="Times New Roman" w:cs="Times New Roman"/>
        </w:rPr>
        <w:t xml:space="preserve"> and </w:t>
      </w:r>
      <w:proofErr w:type="spellStart"/>
      <w:r w:rsidR="0024699A" w:rsidRPr="00DF2B53">
        <w:rPr>
          <w:rFonts w:ascii="Times New Roman" w:hAnsi="Times New Roman" w:cs="Times New Roman"/>
        </w:rPr>
        <w:t>Scheppele’s</w:t>
      </w:r>
      <w:proofErr w:type="spellEnd"/>
      <w:r w:rsidR="0024699A" w:rsidRPr="00DF2B53">
        <w:rPr>
          <w:rFonts w:ascii="Times New Roman" w:hAnsi="Times New Roman" w:cs="Times New Roman"/>
        </w:rPr>
        <w:t xml:space="preserve"> reading of Trump</w:t>
      </w:r>
      <w:r w:rsidR="00E41595">
        <w:rPr>
          <w:rFonts w:ascii="Times New Roman" w:hAnsi="Times New Roman" w:cs="Times New Roman"/>
        </w:rPr>
        <w:t xml:space="preserve">’s </w:t>
      </w:r>
      <w:r w:rsidR="0024699A" w:rsidRPr="00DF2B53">
        <w:rPr>
          <w:rFonts w:ascii="Times New Roman" w:hAnsi="Times New Roman" w:cs="Times New Roman"/>
        </w:rPr>
        <w:t xml:space="preserve">executive underreach. In his view, ‘Trump did display plenty of his authoritarian instincts; he simply had no plan and, at least on this occasion, not enough help […] Moreover, </w:t>
      </w:r>
      <w:r w:rsidR="00230B32" w:rsidRPr="00DF2B53">
        <w:rPr>
          <w:rFonts w:ascii="Times New Roman" w:hAnsi="Times New Roman" w:cs="Times New Roman"/>
        </w:rPr>
        <w:t xml:space="preserve">[…] </w:t>
      </w:r>
      <w:r w:rsidR="0024699A" w:rsidRPr="00DF2B53">
        <w:rPr>
          <w:rFonts w:ascii="Times New Roman" w:hAnsi="Times New Roman" w:cs="Times New Roman"/>
        </w:rPr>
        <w:t xml:space="preserve">the Trump administration </w:t>
      </w:r>
      <w:r w:rsidR="00230B32" w:rsidRPr="00DF2B53">
        <w:rPr>
          <w:rFonts w:ascii="Times New Roman" w:hAnsi="Times New Roman" w:cs="Times New Roman"/>
        </w:rPr>
        <w:t>[…]</w:t>
      </w:r>
      <w:r w:rsidR="0024699A" w:rsidRPr="00DF2B53">
        <w:rPr>
          <w:rFonts w:ascii="Times New Roman" w:hAnsi="Times New Roman" w:cs="Times New Roman"/>
        </w:rPr>
        <w:t xml:space="preserve"> continued what it had been doing from day one: de-regulate and, in particular, try to reverse as many of Obama’s executive orders as possible.’ </w:t>
      </w:r>
      <w:r w:rsidR="007D5302" w:rsidRPr="00DF2B53">
        <w:rPr>
          <w:rFonts w:ascii="Times New Roman" w:hAnsi="Times New Roman" w:cs="Times New Roman"/>
        </w:rPr>
        <w:t xml:space="preserve">In addition, a state of emergency </w:t>
      </w:r>
      <w:r w:rsidR="007D5302" w:rsidRPr="00DF2B53">
        <w:rPr>
          <w:rFonts w:ascii="Times New Roman" w:hAnsi="Times New Roman" w:cs="Times New Roman"/>
          <w:i/>
          <w:iCs/>
        </w:rPr>
        <w:t xml:space="preserve">was </w:t>
      </w:r>
      <w:r w:rsidR="007D5302" w:rsidRPr="00DF2B53">
        <w:rPr>
          <w:rFonts w:ascii="Times New Roman" w:hAnsi="Times New Roman" w:cs="Times New Roman"/>
        </w:rPr>
        <w:t xml:space="preserve">declared in </w:t>
      </w:r>
      <w:r w:rsidR="004A22AC" w:rsidRPr="00DF2B53">
        <w:rPr>
          <w:rFonts w:ascii="Times New Roman" w:hAnsi="Times New Roman" w:cs="Times New Roman"/>
        </w:rPr>
        <w:t>the US.</w:t>
      </w:r>
      <w:r w:rsidR="004A22AC" w:rsidRPr="00DC52BD">
        <w:rPr>
          <w:rStyle w:val="FootnoteReference"/>
        </w:rPr>
        <w:footnoteReference w:id="33"/>
      </w:r>
      <w:r w:rsidR="004A22AC" w:rsidRPr="00DF2B53">
        <w:rPr>
          <w:rFonts w:ascii="Times New Roman" w:hAnsi="Times New Roman" w:cs="Times New Roman"/>
        </w:rPr>
        <w:t xml:space="preserve"> </w:t>
      </w:r>
    </w:p>
    <w:p w14:paraId="1536669E" w14:textId="77777777" w:rsidR="003F1C3F" w:rsidRPr="00DF2B53" w:rsidRDefault="003F1C3F" w:rsidP="00F43D38">
      <w:pPr>
        <w:jc w:val="both"/>
        <w:rPr>
          <w:rFonts w:ascii="Times New Roman" w:hAnsi="Times New Roman" w:cs="Times New Roman"/>
        </w:rPr>
      </w:pPr>
    </w:p>
    <w:p w14:paraId="746BBB77" w14:textId="58123732" w:rsidR="003778EC" w:rsidRDefault="0024699A" w:rsidP="00F43D38">
      <w:pPr>
        <w:jc w:val="both"/>
        <w:rPr>
          <w:rFonts w:ascii="Times New Roman" w:hAnsi="Times New Roman" w:cs="Times New Roman"/>
        </w:rPr>
      </w:pPr>
      <w:r w:rsidRPr="00DF2B53">
        <w:rPr>
          <w:rFonts w:ascii="Times New Roman" w:hAnsi="Times New Roman" w:cs="Times New Roman"/>
        </w:rPr>
        <w:t xml:space="preserve">The tendency </w:t>
      </w:r>
      <w:r w:rsidR="000576A3" w:rsidRPr="00DF2B53">
        <w:rPr>
          <w:rFonts w:ascii="Times New Roman" w:hAnsi="Times New Roman" w:cs="Times New Roman"/>
        </w:rPr>
        <w:t xml:space="preserve">of deregulation </w:t>
      </w:r>
      <w:r w:rsidRPr="00DF2B53">
        <w:rPr>
          <w:rFonts w:ascii="Times New Roman" w:hAnsi="Times New Roman" w:cs="Times New Roman"/>
        </w:rPr>
        <w:t>could be attributed to Bolsonaro as well.</w:t>
      </w:r>
      <w:r w:rsidRPr="00DC52BD">
        <w:rPr>
          <w:rStyle w:val="FootnoteReference"/>
        </w:rPr>
        <w:footnoteReference w:id="34"/>
      </w:r>
      <w:r w:rsidRPr="00DF2B53">
        <w:rPr>
          <w:rFonts w:ascii="Times New Roman" w:hAnsi="Times New Roman" w:cs="Times New Roman"/>
        </w:rPr>
        <w:t xml:space="preserve"> This criticism further underscores the difficulties with distinguishing between overreach and underreach. Müller’s former challenge is addressed by </w:t>
      </w:r>
      <w:proofErr w:type="spellStart"/>
      <w:r w:rsidRPr="00DF2B53">
        <w:rPr>
          <w:rFonts w:ascii="Times New Roman" w:hAnsi="Times New Roman" w:cs="Times New Roman"/>
        </w:rPr>
        <w:t>Pozen</w:t>
      </w:r>
      <w:proofErr w:type="spellEnd"/>
      <w:r w:rsidRPr="00DF2B53">
        <w:rPr>
          <w:rFonts w:ascii="Times New Roman" w:hAnsi="Times New Roman" w:cs="Times New Roman"/>
        </w:rPr>
        <w:t xml:space="preserve"> and </w:t>
      </w:r>
      <w:proofErr w:type="spellStart"/>
      <w:r w:rsidRPr="00DF2B53">
        <w:rPr>
          <w:rFonts w:ascii="Times New Roman" w:hAnsi="Times New Roman" w:cs="Times New Roman"/>
        </w:rPr>
        <w:t>Scheppele</w:t>
      </w:r>
      <w:proofErr w:type="spellEnd"/>
      <w:r w:rsidRPr="00DF2B53">
        <w:rPr>
          <w:rFonts w:ascii="Times New Roman" w:hAnsi="Times New Roman" w:cs="Times New Roman"/>
        </w:rPr>
        <w:t xml:space="preserve"> in that</w:t>
      </w:r>
      <w:r w:rsidR="003F1C3F" w:rsidRPr="00DF2B53">
        <w:rPr>
          <w:rFonts w:ascii="Times New Roman" w:hAnsi="Times New Roman" w:cs="Times New Roman"/>
        </w:rPr>
        <w:t xml:space="preserve"> </w:t>
      </w:r>
      <w:r w:rsidRPr="00DF2B53">
        <w:rPr>
          <w:rFonts w:ascii="Times New Roman" w:hAnsi="Times New Roman" w:cs="Times New Roman"/>
        </w:rPr>
        <w:t xml:space="preserve">a leader </w:t>
      </w:r>
      <w:r w:rsidR="006677E8">
        <w:rPr>
          <w:rFonts w:ascii="Times New Roman" w:hAnsi="Times New Roman" w:cs="Times New Roman"/>
        </w:rPr>
        <w:t>desiring</w:t>
      </w:r>
      <w:r w:rsidRPr="00DF2B53">
        <w:rPr>
          <w:rFonts w:ascii="Times New Roman" w:hAnsi="Times New Roman" w:cs="Times New Roman"/>
        </w:rPr>
        <w:t xml:space="preserve"> to centrali</w:t>
      </w:r>
      <w:r w:rsidR="003F1C3F" w:rsidRPr="00DF2B53">
        <w:rPr>
          <w:rFonts w:ascii="Times New Roman" w:hAnsi="Times New Roman" w:cs="Times New Roman"/>
        </w:rPr>
        <w:t>s</w:t>
      </w:r>
      <w:r w:rsidRPr="00DF2B53">
        <w:rPr>
          <w:rFonts w:ascii="Times New Roman" w:hAnsi="Times New Roman" w:cs="Times New Roman"/>
        </w:rPr>
        <w:t>e their powers but lack</w:t>
      </w:r>
      <w:r w:rsidR="006677E8">
        <w:rPr>
          <w:rFonts w:ascii="Times New Roman" w:hAnsi="Times New Roman" w:cs="Times New Roman"/>
        </w:rPr>
        <w:t xml:space="preserve">ing </w:t>
      </w:r>
      <w:r w:rsidRPr="00DF2B53">
        <w:rPr>
          <w:rFonts w:ascii="Times New Roman" w:hAnsi="Times New Roman" w:cs="Times New Roman"/>
        </w:rPr>
        <w:t>the skills to do so may still engage in executive underreac</w:t>
      </w:r>
      <w:r w:rsidR="00C938F0" w:rsidRPr="00DF2B53">
        <w:rPr>
          <w:rFonts w:ascii="Times New Roman" w:hAnsi="Times New Roman" w:cs="Times New Roman"/>
        </w:rPr>
        <w:t>h, which might</w:t>
      </w:r>
      <w:r w:rsidRPr="00DF2B53">
        <w:rPr>
          <w:rFonts w:ascii="Times New Roman" w:hAnsi="Times New Roman" w:cs="Times New Roman"/>
        </w:rPr>
        <w:t xml:space="preserve"> ‘foster cynicism and distrust of government, diminish state capacity, exacerbate inequality, and stimulate dangerous or inefficient forms of self-help by private actors.’</w:t>
      </w:r>
      <w:r w:rsidRPr="00DC52BD">
        <w:rPr>
          <w:rStyle w:val="FootnoteReference"/>
        </w:rPr>
        <w:footnoteReference w:id="35"/>
      </w:r>
      <w:r w:rsidRPr="00DF2B53">
        <w:rPr>
          <w:rFonts w:ascii="Times New Roman" w:hAnsi="Times New Roman" w:cs="Times New Roman"/>
        </w:rPr>
        <w:t xml:space="preserve"> </w:t>
      </w:r>
      <w:r w:rsidR="00C938F0" w:rsidRPr="00DF2B53">
        <w:rPr>
          <w:rFonts w:ascii="Times New Roman" w:hAnsi="Times New Roman" w:cs="Times New Roman"/>
        </w:rPr>
        <w:t>Müller’s</w:t>
      </w:r>
      <w:r w:rsidRPr="00DF2B53">
        <w:rPr>
          <w:rFonts w:ascii="Times New Roman" w:hAnsi="Times New Roman" w:cs="Times New Roman"/>
        </w:rPr>
        <w:t xml:space="preserve"> latter challenge is partially addressed by </w:t>
      </w:r>
      <w:proofErr w:type="spellStart"/>
      <w:r w:rsidRPr="00DF2B53">
        <w:rPr>
          <w:rFonts w:ascii="Times New Roman" w:hAnsi="Times New Roman" w:cs="Times New Roman"/>
        </w:rPr>
        <w:t>Pozen</w:t>
      </w:r>
      <w:proofErr w:type="spellEnd"/>
      <w:r w:rsidRPr="00DF2B53">
        <w:rPr>
          <w:rFonts w:ascii="Times New Roman" w:hAnsi="Times New Roman" w:cs="Times New Roman"/>
        </w:rPr>
        <w:t xml:space="preserve"> and </w:t>
      </w:r>
      <w:proofErr w:type="spellStart"/>
      <w:r w:rsidRPr="00DF2B53">
        <w:rPr>
          <w:rFonts w:ascii="Times New Roman" w:hAnsi="Times New Roman" w:cs="Times New Roman"/>
        </w:rPr>
        <w:t>Scheppele’s</w:t>
      </w:r>
      <w:proofErr w:type="spellEnd"/>
      <w:r w:rsidRPr="00DF2B53">
        <w:rPr>
          <w:rFonts w:ascii="Times New Roman" w:hAnsi="Times New Roman" w:cs="Times New Roman"/>
        </w:rPr>
        <w:t xml:space="preserve"> claim that overreach and underreach may be ‘in many scenarios […] better conceptualized as overlapping and complementary modes of reactionary governance’</w:t>
      </w:r>
      <w:r w:rsidR="00774EC3" w:rsidRPr="00DF2B53">
        <w:rPr>
          <w:rFonts w:ascii="Times New Roman" w:hAnsi="Times New Roman" w:cs="Times New Roman"/>
        </w:rPr>
        <w:t>.</w:t>
      </w:r>
      <w:r w:rsidR="00E54CF3" w:rsidRPr="00DC52BD">
        <w:rPr>
          <w:rStyle w:val="FootnoteReference"/>
        </w:rPr>
        <w:footnoteReference w:id="36"/>
      </w:r>
      <w:r w:rsidRPr="00DF2B53">
        <w:rPr>
          <w:rFonts w:ascii="Times New Roman" w:hAnsi="Times New Roman" w:cs="Times New Roman"/>
        </w:rPr>
        <w:t xml:space="preserve"> However</w:t>
      </w:r>
      <w:r w:rsidR="007915FA" w:rsidRPr="00DF2B53">
        <w:rPr>
          <w:rFonts w:ascii="Times New Roman" w:hAnsi="Times New Roman" w:cs="Times New Roman"/>
        </w:rPr>
        <w:t xml:space="preserve">, their examples indicate at best a scenario in which overreach and underreach </w:t>
      </w:r>
      <w:r w:rsidR="004957E4">
        <w:rPr>
          <w:rFonts w:ascii="Times New Roman" w:hAnsi="Times New Roman" w:cs="Times New Roman"/>
        </w:rPr>
        <w:t>overlap</w:t>
      </w:r>
      <w:r w:rsidR="006677E8">
        <w:rPr>
          <w:rFonts w:ascii="Times New Roman" w:hAnsi="Times New Roman" w:cs="Times New Roman"/>
        </w:rPr>
        <w:t xml:space="preserve"> </w:t>
      </w:r>
      <w:r w:rsidR="008E39DF" w:rsidRPr="00DF2B53">
        <w:rPr>
          <w:rFonts w:ascii="Times New Roman" w:hAnsi="Times New Roman" w:cs="Times New Roman"/>
        </w:rPr>
        <w:t xml:space="preserve">in </w:t>
      </w:r>
      <w:r w:rsidR="008E39DF" w:rsidRPr="00DF2B53">
        <w:rPr>
          <w:rFonts w:ascii="Times New Roman" w:hAnsi="Times New Roman" w:cs="Times New Roman"/>
          <w:i/>
          <w:iCs/>
        </w:rPr>
        <w:t>different policy areas</w:t>
      </w:r>
      <w:r w:rsidR="008E39DF" w:rsidRPr="00DF2B53">
        <w:rPr>
          <w:rFonts w:ascii="Times New Roman" w:hAnsi="Times New Roman" w:cs="Times New Roman"/>
        </w:rPr>
        <w:t xml:space="preserve">. </w:t>
      </w:r>
    </w:p>
    <w:p w14:paraId="379760E2" w14:textId="77777777" w:rsidR="003778EC" w:rsidRDefault="003778EC" w:rsidP="00F43D38">
      <w:pPr>
        <w:jc w:val="both"/>
        <w:rPr>
          <w:rFonts w:ascii="Times New Roman" w:hAnsi="Times New Roman" w:cs="Times New Roman"/>
        </w:rPr>
      </w:pPr>
    </w:p>
    <w:p w14:paraId="6FE4E4AC" w14:textId="7E528660" w:rsidR="00FA04F0" w:rsidRPr="00DF2B53" w:rsidRDefault="008E39DF" w:rsidP="00F43D38">
      <w:pPr>
        <w:jc w:val="both"/>
        <w:rPr>
          <w:rFonts w:ascii="Times New Roman" w:hAnsi="Times New Roman" w:cs="Times New Roman"/>
        </w:rPr>
      </w:pPr>
      <w:r w:rsidRPr="00DF2B53">
        <w:rPr>
          <w:rFonts w:ascii="Times New Roman" w:hAnsi="Times New Roman" w:cs="Times New Roman"/>
        </w:rPr>
        <w:t>Slovakia may pose a challenge for such categori</w:t>
      </w:r>
      <w:r w:rsidR="00876646" w:rsidRPr="00DF2B53">
        <w:rPr>
          <w:rFonts w:ascii="Times New Roman" w:hAnsi="Times New Roman" w:cs="Times New Roman"/>
        </w:rPr>
        <w:t>s</w:t>
      </w:r>
      <w:r w:rsidRPr="00DF2B53">
        <w:rPr>
          <w:rFonts w:ascii="Times New Roman" w:hAnsi="Times New Roman" w:cs="Times New Roman"/>
        </w:rPr>
        <w:t xml:space="preserve">ation. </w:t>
      </w:r>
      <w:r w:rsidR="00FA04F0">
        <w:rPr>
          <w:rFonts w:ascii="Times New Roman" w:hAnsi="Times New Roman" w:cs="Times New Roman"/>
        </w:rPr>
        <w:t xml:space="preserve">As </w:t>
      </w:r>
      <w:r w:rsidR="00740B1D">
        <w:rPr>
          <w:rFonts w:ascii="Times New Roman" w:hAnsi="Times New Roman" w:cs="Times New Roman"/>
        </w:rPr>
        <w:t>shown below, the choice of the restrictions (and their</w:t>
      </w:r>
      <w:r w:rsidR="00B62F76">
        <w:rPr>
          <w:rFonts w:ascii="Times New Roman" w:hAnsi="Times New Roman" w:cs="Times New Roman"/>
        </w:rPr>
        <w:t xml:space="preserve"> later lifting at an arbitrary moment in time</w:t>
      </w:r>
      <w:r w:rsidR="00740B1D">
        <w:rPr>
          <w:rFonts w:ascii="Times New Roman" w:hAnsi="Times New Roman" w:cs="Times New Roman"/>
        </w:rPr>
        <w:t xml:space="preserve">) has not </w:t>
      </w:r>
      <w:r w:rsidR="000D1F8A">
        <w:rPr>
          <w:rFonts w:ascii="Times New Roman" w:hAnsi="Times New Roman" w:cs="Times New Roman"/>
        </w:rPr>
        <w:t>been justified</w:t>
      </w:r>
      <w:r w:rsidR="00B62F76">
        <w:rPr>
          <w:rFonts w:ascii="Times New Roman" w:hAnsi="Times New Roman" w:cs="Times New Roman"/>
        </w:rPr>
        <w:t xml:space="preserve"> by the decision makers</w:t>
      </w:r>
      <w:r w:rsidR="000D1F8A">
        <w:rPr>
          <w:rFonts w:ascii="Times New Roman" w:hAnsi="Times New Roman" w:cs="Times New Roman"/>
        </w:rPr>
        <w:t xml:space="preserve">. A long line of social thought has emphasised the necessity of democracies to develop a ‘culture of justification’, </w:t>
      </w:r>
      <w:r w:rsidR="008A0D66">
        <w:rPr>
          <w:rFonts w:ascii="Times New Roman" w:hAnsi="Times New Roman" w:cs="Times New Roman"/>
        </w:rPr>
        <w:t>particularly essential in case of enactment and amendment of coercive legal regulations.</w:t>
      </w:r>
      <w:r w:rsidR="00B06B46" w:rsidRPr="00DC52BD">
        <w:rPr>
          <w:rStyle w:val="FootnoteReference"/>
        </w:rPr>
        <w:footnoteReference w:id="37"/>
      </w:r>
      <w:r w:rsidR="009A3F36">
        <w:rPr>
          <w:rFonts w:ascii="Times New Roman" w:hAnsi="Times New Roman" w:cs="Times New Roman"/>
        </w:rPr>
        <w:t xml:space="preserve"> </w:t>
      </w:r>
      <w:r w:rsidR="009214A2">
        <w:rPr>
          <w:rFonts w:ascii="Times New Roman" w:hAnsi="Times New Roman" w:cs="Times New Roman"/>
        </w:rPr>
        <w:t>While debate continues as to how far deliberative mechanisms need to be incorporated into decision making for its democratic character to be retained and enhanced,</w:t>
      </w:r>
      <w:r w:rsidR="00252725" w:rsidRPr="00DC52BD">
        <w:rPr>
          <w:rStyle w:val="FootnoteReference"/>
        </w:rPr>
        <w:footnoteReference w:id="38"/>
      </w:r>
      <w:r w:rsidR="009214A2">
        <w:rPr>
          <w:rFonts w:ascii="Times New Roman" w:hAnsi="Times New Roman" w:cs="Times New Roman"/>
        </w:rPr>
        <w:t xml:space="preserve"> </w:t>
      </w:r>
      <w:r w:rsidR="00A754E6">
        <w:rPr>
          <w:rFonts w:ascii="Times New Roman" w:hAnsi="Times New Roman" w:cs="Times New Roman"/>
        </w:rPr>
        <w:t>the requirement of justification is a more modest one</w:t>
      </w:r>
      <w:r w:rsidR="008B6671">
        <w:rPr>
          <w:rFonts w:ascii="Times New Roman" w:hAnsi="Times New Roman" w:cs="Times New Roman"/>
        </w:rPr>
        <w:t>, as it encompass</w:t>
      </w:r>
      <w:r w:rsidR="0063698A">
        <w:rPr>
          <w:rFonts w:ascii="Times New Roman" w:hAnsi="Times New Roman" w:cs="Times New Roman"/>
        </w:rPr>
        <w:t>es</w:t>
      </w:r>
      <w:r w:rsidR="008B6671">
        <w:rPr>
          <w:rFonts w:ascii="Times New Roman" w:hAnsi="Times New Roman" w:cs="Times New Roman"/>
        </w:rPr>
        <w:t xml:space="preserve"> one-way communication from the government to the </w:t>
      </w:r>
      <w:r w:rsidR="00182ED0">
        <w:rPr>
          <w:rFonts w:ascii="Times New Roman" w:hAnsi="Times New Roman" w:cs="Times New Roman"/>
        </w:rPr>
        <w:t xml:space="preserve">public that </w:t>
      </w:r>
      <w:r w:rsidR="0063698A">
        <w:rPr>
          <w:rFonts w:ascii="Times New Roman" w:hAnsi="Times New Roman" w:cs="Times New Roman"/>
        </w:rPr>
        <w:t xml:space="preserve">might still give ground to an obligation </w:t>
      </w:r>
      <w:r w:rsidR="0063698A">
        <w:rPr>
          <w:rFonts w:ascii="Times New Roman" w:hAnsi="Times New Roman" w:cs="Times New Roman"/>
        </w:rPr>
        <w:lastRenderedPageBreak/>
        <w:t>to comply</w:t>
      </w:r>
      <w:r w:rsidR="008B6671">
        <w:rPr>
          <w:rFonts w:ascii="Times New Roman" w:hAnsi="Times New Roman" w:cs="Times New Roman"/>
        </w:rPr>
        <w:t>.</w:t>
      </w:r>
      <w:r w:rsidR="007F7BFD" w:rsidRPr="00DC52BD">
        <w:rPr>
          <w:rStyle w:val="FootnoteReference"/>
        </w:rPr>
        <w:footnoteReference w:id="39"/>
      </w:r>
      <w:r w:rsidR="008B6671">
        <w:rPr>
          <w:rFonts w:ascii="Times New Roman" w:hAnsi="Times New Roman" w:cs="Times New Roman"/>
        </w:rPr>
        <w:t xml:space="preserve"> Yet, its absence </w:t>
      </w:r>
      <w:r w:rsidR="00D150E5">
        <w:rPr>
          <w:rFonts w:ascii="Times New Roman" w:hAnsi="Times New Roman" w:cs="Times New Roman"/>
        </w:rPr>
        <w:t>is</w:t>
      </w:r>
      <w:r w:rsidR="0063698A">
        <w:rPr>
          <w:rFonts w:ascii="Times New Roman" w:hAnsi="Times New Roman" w:cs="Times New Roman"/>
        </w:rPr>
        <w:t xml:space="preserve"> clearly</w:t>
      </w:r>
      <w:r w:rsidR="00D150E5">
        <w:rPr>
          <w:rFonts w:ascii="Times New Roman" w:hAnsi="Times New Roman" w:cs="Times New Roman"/>
        </w:rPr>
        <w:t xml:space="preserve"> pathological, accompanying both </w:t>
      </w:r>
      <w:r w:rsidR="004048C9">
        <w:rPr>
          <w:rFonts w:ascii="Times New Roman" w:hAnsi="Times New Roman" w:cs="Times New Roman"/>
        </w:rPr>
        <w:t xml:space="preserve">overreach and underreach, and undermining the possibility of democratic emergency management. </w:t>
      </w:r>
      <w:r w:rsidR="00CE3B57">
        <w:rPr>
          <w:rFonts w:ascii="Times New Roman" w:hAnsi="Times New Roman" w:cs="Times New Roman"/>
        </w:rPr>
        <w:t xml:space="preserve">The case of Slovakia illustrates the governance failures </w:t>
      </w:r>
      <w:r w:rsidR="0063698A">
        <w:rPr>
          <w:rFonts w:ascii="Times New Roman" w:hAnsi="Times New Roman" w:cs="Times New Roman"/>
        </w:rPr>
        <w:t>accompanying</w:t>
      </w:r>
      <w:r w:rsidR="00CE3B57">
        <w:rPr>
          <w:rFonts w:ascii="Times New Roman" w:hAnsi="Times New Roman" w:cs="Times New Roman"/>
        </w:rPr>
        <w:t xml:space="preserve"> such justificatory emptiness.</w:t>
      </w:r>
    </w:p>
    <w:p w14:paraId="6A602310" w14:textId="77777777" w:rsidR="008702D4" w:rsidRPr="00DF2B53" w:rsidRDefault="008702D4" w:rsidP="00F43D38">
      <w:pPr>
        <w:jc w:val="both"/>
        <w:rPr>
          <w:rFonts w:ascii="Times New Roman" w:hAnsi="Times New Roman" w:cs="Times New Roman"/>
        </w:rPr>
      </w:pPr>
    </w:p>
    <w:p w14:paraId="571D6DBF" w14:textId="55BB1473" w:rsidR="002C29AF" w:rsidRPr="00DF2B53" w:rsidRDefault="00B74D55" w:rsidP="002C29AF">
      <w:pPr>
        <w:pStyle w:val="Heading2"/>
        <w:rPr>
          <w:rFonts w:ascii="Times New Roman" w:hAnsi="Times New Roman" w:cs="Times New Roman"/>
          <w:color w:val="auto"/>
          <w:sz w:val="24"/>
          <w:szCs w:val="24"/>
          <w:u w:val="single"/>
        </w:rPr>
      </w:pPr>
      <w:r w:rsidRPr="00DF2B53">
        <w:rPr>
          <w:rFonts w:ascii="Times New Roman" w:hAnsi="Times New Roman" w:cs="Times New Roman"/>
          <w:color w:val="auto"/>
          <w:sz w:val="24"/>
          <w:szCs w:val="24"/>
          <w:u w:val="single"/>
        </w:rPr>
        <w:t>I</w:t>
      </w:r>
      <w:r w:rsidR="00DC7DA2" w:rsidRPr="00DF2B53">
        <w:rPr>
          <w:rFonts w:ascii="Times New Roman" w:hAnsi="Times New Roman" w:cs="Times New Roman"/>
          <w:color w:val="auto"/>
          <w:sz w:val="24"/>
          <w:szCs w:val="24"/>
          <w:u w:val="single"/>
        </w:rPr>
        <w:t xml:space="preserve">II. </w:t>
      </w:r>
      <w:r w:rsidR="00802787" w:rsidRPr="00DF2B53">
        <w:rPr>
          <w:rFonts w:ascii="Times New Roman" w:hAnsi="Times New Roman" w:cs="Times New Roman"/>
          <w:color w:val="auto"/>
          <w:sz w:val="24"/>
          <w:szCs w:val="24"/>
          <w:u w:val="single"/>
        </w:rPr>
        <w:t xml:space="preserve">Regulations encouraging overreach and underreach: The case of </w:t>
      </w:r>
      <w:proofErr w:type="gramStart"/>
      <w:r w:rsidR="00802787" w:rsidRPr="00DF2B53">
        <w:rPr>
          <w:rFonts w:ascii="Times New Roman" w:hAnsi="Times New Roman" w:cs="Times New Roman"/>
          <w:color w:val="auto"/>
          <w:sz w:val="24"/>
          <w:szCs w:val="24"/>
          <w:u w:val="single"/>
        </w:rPr>
        <w:t>Slovakia</w:t>
      </w:r>
      <w:proofErr w:type="gramEnd"/>
    </w:p>
    <w:p w14:paraId="683E51C6" w14:textId="16857F45" w:rsidR="00B00904" w:rsidRDefault="004651BC" w:rsidP="00814CE1">
      <w:pPr>
        <w:jc w:val="both"/>
        <w:rPr>
          <w:rFonts w:ascii="Times New Roman" w:hAnsi="Times New Roman" w:cs="Times New Roman"/>
          <w:color w:val="000000"/>
        </w:rPr>
      </w:pPr>
      <w:r>
        <w:rPr>
          <w:rFonts w:ascii="Times New Roman" w:hAnsi="Times New Roman" w:cs="Times New Roman"/>
          <w:color w:val="000000"/>
        </w:rPr>
        <w:t xml:space="preserve">The following analysis </w:t>
      </w:r>
      <w:r w:rsidR="00311C43">
        <w:rPr>
          <w:rFonts w:ascii="Times New Roman" w:hAnsi="Times New Roman" w:cs="Times New Roman"/>
          <w:color w:val="000000"/>
        </w:rPr>
        <w:t xml:space="preserve">is based on three sets of data sources: </w:t>
      </w:r>
      <w:r w:rsidR="00B36456">
        <w:rPr>
          <w:rFonts w:ascii="Times New Roman" w:hAnsi="Times New Roman" w:cs="Times New Roman"/>
          <w:color w:val="000000"/>
        </w:rPr>
        <w:t xml:space="preserve">legislation and Constitutional Court decisions on the </w:t>
      </w:r>
      <w:proofErr w:type="spellStart"/>
      <w:r w:rsidR="00B36456">
        <w:rPr>
          <w:rFonts w:ascii="Times New Roman" w:hAnsi="Times New Roman" w:cs="Times New Roman"/>
          <w:color w:val="000000"/>
        </w:rPr>
        <w:t>SsoE</w:t>
      </w:r>
      <w:proofErr w:type="spellEnd"/>
      <w:r w:rsidR="00B36456">
        <w:rPr>
          <w:rFonts w:ascii="Times New Roman" w:hAnsi="Times New Roman" w:cs="Times New Roman"/>
          <w:color w:val="000000"/>
        </w:rPr>
        <w:t xml:space="preserve"> in the COVID-19 context, </w:t>
      </w:r>
      <w:r w:rsidR="0045126D">
        <w:rPr>
          <w:rFonts w:ascii="Times New Roman" w:hAnsi="Times New Roman" w:cs="Times New Roman"/>
          <w:color w:val="000000"/>
        </w:rPr>
        <w:t xml:space="preserve">justifications introduced for activating or prolonging </w:t>
      </w:r>
      <w:proofErr w:type="spellStart"/>
      <w:r w:rsidR="0045126D">
        <w:rPr>
          <w:rFonts w:ascii="Times New Roman" w:hAnsi="Times New Roman" w:cs="Times New Roman"/>
          <w:color w:val="000000"/>
        </w:rPr>
        <w:t>SsoE</w:t>
      </w:r>
      <w:proofErr w:type="spellEnd"/>
      <w:r w:rsidR="0045126D">
        <w:rPr>
          <w:rFonts w:ascii="Times New Roman" w:hAnsi="Times New Roman" w:cs="Times New Roman"/>
          <w:color w:val="000000"/>
        </w:rPr>
        <w:t xml:space="preserve"> at cabinet </w:t>
      </w:r>
      <w:proofErr w:type="gramStart"/>
      <w:r w:rsidR="0045126D">
        <w:rPr>
          <w:rFonts w:ascii="Times New Roman" w:hAnsi="Times New Roman" w:cs="Times New Roman"/>
          <w:color w:val="000000"/>
        </w:rPr>
        <w:t xml:space="preserve">meetings, </w:t>
      </w:r>
      <w:r w:rsidR="00B36456">
        <w:rPr>
          <w:rFonts w:ascii="Times New Roman" w:hAnsi="Times New Roman" w:cs="Times New Roman"/>
          <w:color w:val="000000"/>
        </w:rPr>
        <w:t>and</w:t>
      </w:r>
      <w:proofErr w:type="gramEnd"/>
      <w:r w:rsidR="00B36456">
        <w:rPr>
          <w:rFonts w:ascii="Times New Roman" w:hAnsi="Times New Roman" w:cs="Times New Roman"/>
          <w:color w:val="000000"/>
        </w:rPr>
        <w:t xml:space="preserve"> </w:t>
      </w:r>
      <w:r w:rsidR="00951782">
        <w:rPr>
          <w:rFonts w:ascii="Times New Roman" w:hAnsi="Times New Roman" w:cs="Times New Roman"/>
          <w:color w:val="000000"/>
        </w:rPr>
        <w:t>voting records on endorsing the cabinet decisions in the National Counci</w:t>
      </w:r>
      <w:r w:rsidR="00B36456">
        <w:rPr>
          <w:rFonts w:ascii="Times New Roman" w:hAnsi="Times New Roman" w:cs="Times New Roman"/>
          <w:color w:val="000000"/>
        </w:rPr>
        <w:t>l. Together,</w:t>
      </w:r>
      <w:r w:rsidR="00360F32">
        <w:rPr>
          <w:rFonts w:ascii="Times New Roman" w:hAnsi="Times New Roman" w:cs="Times New Roman"/>
          <w:color w:val="000000"/>
        </w:rPr>
        <w:t xml:space="preserve"> and with awareness of the Slovak societal contexts,</w:t>
      </w:r>
      <w:r w:rsidR="00D14D86" w:rsidRPr="00DC52BD">
        <w:rPr>
          <w:rStyle w:val="FootnoteReference"/>
        </w:rPr>
        <w:footnoteReference w:id="40"/>
      </w:r>
      <w:r w:rsidR="00B36456">
        <w:rPr>
          <w:rFonts w:ascii="Times New Roman" w:hAnsi="Times New Roman" w:cs="Times New Roman"/>
          <w:color w:val="000000"/>
        </w:rPr>
        <w:t xml:space="preserve"> th</w:t>
      </w:r>
      <w:r w:rsidR="003F7E74">
        <w:rPr>
          <w:rFonts w:ascii="Times New Roman" w:hAnsi="Times New Roman" w:cs="Times New Roman"/>
          <w:color w:val="000000"/>
        </w:rPr>
        <w:t>e dat</w:t>
      </w:r>
      <w:r w:rsidR="00AD5D82">
        <w:rPr>
          <w:rFonts w:ascii="Times New Roman" w:hAnsi="Times New Roman" w:cs="Times New Roman"/>
          <w:color w:val="000000"/>
        </w:rPr>
        <w:t xml:space="preserve">a allow to trace the </w:t>
      </w:r>
      <w:r w:rsidR="00743CBC">
        <w:rPr>
          <w:rFonts w:ascii="Times New Roman" w:hAnsi="Times New Roman" w:cs="Times New Roman"/>
          <w:color w:val="000000"/>
        </w:rPr>
        <w:t xml:space="preserve">justifications offered for </w:t>
      </w:r>
      <w:r w:rsidR="00793208">
        <w:rPr>
          <w:rFonts w:ascii="Times New Roman" w:hAnsi="Times New Roman" w:cs="Times New Roman"/>
          <w:color w:val="000000"/>
        </w:rPr>
        <w:t xml:space="preserve">utilising the </w:t>
      </w:r>
      <w:proofErr w:type="spellStart"/>
      <w:r w:rsidR="00793208">
        <w:rPr>
          <w:rFonts w:ascii="Times New Roman" w:hAnsi="Times New Roman" w:cs="Times New Roman"/>
          <w:color w:val="000000"/>
        </w:rPr>
        <w:t>SoE</w:t>
      </w:r>
      <w:proofErr w:type="spellEnd"/>
      <w:r w:rsidR="00793208">
        <w:rPr>
          <w:rFonts w:ascii="Times New Roman" w:hAnsi="Times New Roman" w:cs="Times New Roman"/>
          <w:color w:val="000000"/>
        </w:rPr>
        <w:t xml:space="preserve"> as a regulatory measure in response to the pandemic. </w:t>
      </w:r>
      <w:r w:rsidR="00EF4439">
        <w:rPr>
          <w:rFonts w:ascii="Times New Roman" w:hAnsi="Times New Roman" w:cs="Times New Roman"/>
          <w:color w:val="000000"/>
        </w:rPr>
        <w:t xml:space="preserve">As such, it aims to combine the </w:t>
      </w:r>
      <w:r w:rsidR="00253F83">
        <w:rPr>
          <w:rFonts w:ascii="Times New Roman" w:hAnsi="Times New Roman" w:cs="Times New Roman"/>
          <w:color w:val="000000"/>
        </w:rPr>
        <w:t>attention to legal frameworks, doctrines and local specifics known in European scholarship and the more data-driven analytical approaches that had emerged (mainly) in the US.</w:t>
      </w:r>
      <w:r w:rsidR="00CA3C2E" w:rsidRPr="00DC52BD">
        <w:rPr>
          <w:rStyle w:val="FootnoteReference"/>
        </w:rPr>
        <w:footnoteReference w:id="41"/>
      </w:r>
    </w:p>
    <w:p w14:paraId="44F72F2B" w14:textId="77777777" w:rsidR="00B00904" w:rsidRDefault="00B00904" w:rsidP="00814CE1">
      <w:pPr>
        <w:jc w:val="both"/>
        <w:rPr>
          <w:rFonts w:ascii="Times New Roman" w:hAnsi="Times New Roman" w:cs="Times New Roman"/>
          <w:color w:val="000000"/>
        </w:rPr>
      </w:pPr>
    </w:p>
    <w:p w14:paraId="3890B985" w14:textId="1C8DA18B" w:rsidR="00647131" w:rsidRDefault="00FC2C20" w:rsidP="00814CE1">
      <w:pPr>
        <w:jc w:val="both"/>
        <w:rPr>
          <w:rFonts w:ascii="Times New Roman" w:hAnsi="Times New Roman" w:cs="Times New Roman"/>
          <w:color w:val="000000"/>
        </w:rPr>
      </w:pPr>
      <w:r w:rsidRPr="00DF2B53">
        <w:rPr>
          <w:rFonts w:ascii="Times New Roman" w:hAnsi="Times New Roman" w:cs="Times New Roman"/>
          <w:color w:val="000000"/>
        </w:rPr>
        <w:t xml:space="preserve">During the early stages of the </w:t>
      </w:r>
      <w:r w:rsidR="00D910AE" w:rsidRPr="00DF2B53">
        <w:rPr>
          <w:rFonts w:ascii="Times New Roman" w:hAnsi="Times New Roman" w:cs="Times New Roman"/>
          <w:color w:val="000000"/>
        </w:rPr>
        <w:t>pandemic, Slovak political leaders embraced the logic of ‘ac</w:t>
      </w:r>
      <w:r w:rsidR="00B42F1C">
        <w:rPr>
          <w:rFonts w:ascii="Times New Roman" w:hAnsi="Times New Roman" w:cs="Times New Roman"/>
          <w:color w:val="000000"/>
        </w:rPr>
        <w:t>t</w:t>
      </w:r>
      <w:r w:rsidR="00D910AE" w:rsidRPr="00DF2B53">
        <w:rPr>
          <w:rFonts w:ascii="Times New Roman" w:hAnsi="Times New Roman" w:cs="Times New Roman"/>
          <w:color w:val="000000"/>
        </w:rPr>
        <w:t xml:space="preserve"> now, explain later’</w:t>
      </w:r>
      <w:r w:rsidR="00B62F76">
        <w:rPr>
          <w:rFonts w:ascii="Times New Roman" w:hAnsi="Times New Roman" w:cs="Times New Roman"/>
          <w:color w:val="000000"/>
        </w:rPr>
        <w:t xml:space="preserve"> and implemented stringent restrictions.</w:t>
      </w:r>
      <w:r w:rsidR="00D910AE" w:rsidRPr="00DF2B53">
        <w:rPr>
          <w:rFonts w:ascii="Times New Roman" w:hAnsi="Times New Roman" w:cs="Times New Roman"/>
          <w:color w:val="000000"/>
        </w:rPr>
        <w:t xml:space="preserve"> </w:t>
      </w:r>
      <w:r w:rsidR="00B82CA2">
        <w:rPr>
          <w:rFonts w:ascii="Times New Roman" w:hAnsi="Times New Roman" w:cs="Times New Roman"/>
          <w:color w:val="000000"/>
        </w:rPr>
        <w:t>T</w:t>
      </w:r>
      <w:r w:rsidR="006D2D49" w:rsidRPr="00DF2B53">
        <w:rPr>
          <w:rFonts w:ascii="Times New Roman" w:hAnsi="Times New Roman" w:cs="Times New Roman"/>
          <w:color w:val="000000"/>
        </w:rPr>
        <w:t xml:space="preserve">his approach </w:t>
      </w:r>
      <w:r w:rsidR="00B82CA2">
        <w:rPr>
          <w:rFonts w:ascii="Times New Roman" w:hAnsi="Times New Roman" w:cs="Times New Roman"/>
          <w:color w:val="000000"/>
        </w:rPr>
        <w:t>enjoyed</w:t>
      </w:r>
      <w:r w:rsidR="006D2D49" w:rsidRPr="00DF2B53">
        <w:rPr>
          <w:rFonts w:ascii="Times New Roman" w:hAnsi="Times New Roman" w:cs="Times New Roman"/>
          <w:color w:val="000000"/>
        </w:rPr>
        <w:t xml:space="preserve"> a cross-party consensus, particularly significant due to the general elections having been </w:t>
      </w:r>
      <w:r w:rsidR="006602DF" w:rsidRPr="00DF2B53">
        <w:rPr>
          <w:rFonts w:ascii="Times New Roman" w:hAnsi="Times New Roman" w:cs="Times New Roman"/>
          <w:color w:val="000000"/>
        </w:rPr>
        <w:t>held at the end of February 2020,</w:t>
      </w:r>
      <w:r w:rsidR="00BC01BF" w:rsidRPr="00DF2B53">
        <w:rPr>
          <w:rFonts w:ascii="Times New Roman" w:hAnsi="Times New Roman" w:cs="Times New Roman"/>
          <w:color w:val="000000"/>
        </w:rPr>
        <w:t xml:space="preserve"> when </w:t>
      </w:r>
      <w:r w:rsidR="00446692" w:rsidRPr="00DF2B53">
        <w:rPr>
          <w:rFonts w:ascii="Times New Roman" w:hAnsi="Times New Roman" w:cs="Times New Roman"/>
          <w:color w:val="000000"/>
        </w:rPr>
        <w:t xml:space="preserve">news </w:t>
      </w:r>
      <w:r w:rsidR="00BC01BF" w:rsidRPr="00DF2B53">
        <w:rPr>
          <w:rFonts w:ascii="Times New Roman" w:hAnsi="Times New Roman" w:cs="Times New Roman"/>
          <w:color w:val="000000"/>
        </w:rPr>
        <w:t xml:space="preserve">of overwhelmed healthcare system </w:t>
      </w:r>
      <w:r w:rsidR="00876646" w:rsidRPr="00DF2B53">
        <w:rPr>
          <w:rFonts w:ascii="Times New Roman" w:hAnsi="Times New Roman" w:cs="Times New Roman"/>
          <w:color w:val="000000"/>
        </w:rPr>
        <w:t>in northern Italy</w:t>
      </w:r>
      <w:r w:rsidR="006C4DB0">
        <w:rPr>
          <w:rFonts w:ascii="Times New Roman" w:hAnsi="Times New Roman" w:cs="Times New Roman"/>
          <w:color w:val="000000"/>
        </w:rPr>
        <w:t xml:space="preserve"> began to spread</w:t>
      </w:r>
      <w:r w:rsidR="00BC01BF" w:rsidRPr="00DF2B53">
        <w:rPr>
          <w:rFonts w:ascii="Times New Roman" w:hAnsi="Times New Roman" w:cs="Times New Roman"/>
          <w:color w:val="000000"/>
        </w:rPr>
        <w:t>.</w:t>
      </w:r>
      <w:r w:rsidR="00231602" w:rsidRPr="00DF2B53">
        <w:rPr>
          <w:rFonts w:ascii="Times New Roman" w:hAnsi="Times New Roman" w:cs="Times New Roman"/>
          <w:color w:val="000000"/>
        </w:rPr>
        <w:t xml:space="preserve"> The elections resulted in the victory of an anti-corruption coalition </w:t>
      </w:r>
      <w:r w:rsidR="007013D8" w:rsidRPr="00DF2B53">
        <w:rPr>
          <w:rFonts w:ascii="Times New Roman" w:hAnsi="Times New Roman" w:cs="Times New Roman"/>
          <w:color w:val="000000"/>
        </w:rPr>
        <w:t xml:space="preserve">poised to replace the government led by the political party </w:t>
      </w:r>
      <w:proofErr w:type="spellStart"/>
      <w:r w:rsidR="007013D8" w:rsidRPr="00DF2B53">
        <w:rPr>
          <w:rFonts w:ascii="Times New Roman" w:hAnsi="Times New Roman" w:cs="Times New Roman"/>
          <w:color w:val="000000"/>
        </w:rPr>
        <w:t>Smer</w:t>
      </w:r>
      <w:proofErr w:type="spellEnd"/>
      <w:r w:rsidR="007013D8" w:rsidRPr="00DF2B53">
        <w:rPr>
          <w:rFonts w:ascii="Times New Roman" w:hAnsi="Times New Roman" w:cs="Times New Roman"/>
          <w:color w:val="000000"/>
        </w:rPr>
        <w:t xml:space="preserve">-SD, whose chairman has been embroiled in corruption scandals and resigned two years prior </w:t>
      </w:r>
      <w:r w:rsidR="00B82CA2">
        <w:rPr>
          <w:rFonts w:ascii="Times New Roman" w:hAnsi="Times New Roman" w:cs="Times New Roman"/>
          <w:color w:val="000000"/>
        </w:rPr>
        <w:t>after a</w:t>
      </w:r>
      <w:r w:rsidR="007013D8" w:rsidRPr="00DF2B53">
        <w:rPr>
          <w:rFonts w:ascii="Times New Roman" w:hAnsi="Times New Roman" w:cs="Times New Roman"/>
          <w:color w:val="000000"/>
        </w:rPr>
        <w:t xml:space="preserve"> politically motivated murder of an investigative journalist and his fiancée</w:t>
      </w:r>
      <w:r w:rsidR="00B82CA2">
        <w:rPr>
          <w:rFonts w:ascii="Times New Roman" w:hAnsi="Times New Roman" w:cs="Times New Roman"/>
          <w:color w:val="000000"/>
        </w:rPr>
        <w:t xml:space="preserve"> shook the political regime</w:t>
      </w:r>
      <w:r w:rsidR="007013D8" w:rsidRPr="00DF2B53">
        <w:rPr>
          <w:rFonts w:ascii="Times New Roman" w:hAnsi="Times New Roman" w:cs="Times New Roman"/>
          <w:color w:val="000000"/>
        </w:rPr>
        <w:t>.</w:t>
      </w:r>
      <w:r w:rsidR="00D95BE0" w:rsidRPr="00DC52BD">
        <w:rPr>
          <w:rStyle w:val="FootnoteReference"/>
        </w:rPr>
        <w:footnoteReference w:id="42"/>
      </w:r>
      <w:r w:rsidR="00761E52" w:rsidRPr="00DF2B53">
        <w:rPr>
          <w:rFonts w:ascii="Times New Roman" w:hAnsi="Times New Roman" w:cs="Times New Roman"/>
          <w:color w:val="000000"/>
        </w:rPr>
        <w:t xml:space="preserve"> </w:t>
      </w:r>
    </w:p>
    <w:p w14:paraId="1B214D61" w14:textId="77777777" w:rsidR="00647131" w:rsidRPr="00DF2B53" w:rsidRDefault="00647131" w:rsidP="00814CE1">
      <w:pPr>
        <w:jc w:val="both"/>
        <w:rPr>
          <w:rFonts w:ascii="Times New Roman" w:hAnsi="Times New Roman" w:cs="Times New Roman"/>
          <w:color w:val="000000"/>
        </w:rPr>
      </w:pPr>
    </w:p>
    <w:p w14:paraId="14FAEC47" w14:textId="656E8561" w:rsidR="007517DF" w:rsidRPr="00DF2B53" w:rsidRDefault="00B92F4D" w:rsidP="00814CE1">
      <w:pPr>
        <w:jc w:val="both"/>
        <w:rPr>
          <w:rFonts w:ascii="Times New Roman" w:hAnsi="Times New Roman" w:cs="Times New Roman"/>
          <w:color w:val="000000"/>
        </w:rPr>
      </w:pPr>
      <w:r w:rsidRPr="00DF2B53">
        <w:rPr>
          <w:rFonts w:ascii="Times New Roman" w:hAnsi="Times New Roman" w:cs="Times New Roman"/>
          <w:color w:val="000000"/>
        </w:rPr>
        <w:t>Despite some ‘underlying vulnerabilities’ in the region,</w:t>
      </w:r>
      <w:r w:rsidR="00886927" w:rsidRPr="00DC52BD">
        <w:rPr>
          <w:rStyle w:val="FootnoteReference"/>
        </w:rPr>
        <w:footnoteReference w:id="43"/>
      </w:r>
      <w:r w:rsidRPr="00DF2B53">
        <w:rPr>
          <w:rFonts w:ascii="Times New Roman" w:hAnsi="Times New Roman" w:cs="Times New Roman"/>
          <w:color w:val="000000"/>
        </w:rPr>
        <w:t xml:space="preserve"> t</w:t>
      </w:r>
      <w:r w:rsidR="00761E52" w:rsidRPr="00DF2B53">
        <w:rPr>
          <w:rFonts w:ascii="Times New Roman" w:hAnsi="Times New Roman" w:cs="Times New Roman"/>
          <w:color w:val="000000"/>
        </w:rPr>
        <w:t>he change of government</w:t>
      </w:r>
      <w:r w:rsidR="00761E52" w:rsidRPr="00DC52BD">
        <w:rPr>
          <w:rStyle w:val="FootnoteReference"/>
        </w:rPr>
        <w:footnoteReference w:id="44"/>
      </w:r>
      <w:r w:rsidR="00044113" w:rsidRPr="00DF2B53">
        <w:rPr>
          <w:rFonts w:ascii="Times New Roman" w:hAnsi="Times New Roman" w:cs="Times New Roman"/>
          <w:color w:val="000000"/>
        </w:rPr>
        <w:t xml:space="preserve"> makes Slovakia a unique case to analyse</w:t>
      </w:r>
      <w:r w:rsidR="0078185C" w:rsidRPr="00DF2B53">
        <w:rPr>
          <w:rFonts w:ascii="Times New Roman" w:hAnsi="Times New Roman" w:cs="Times New Roman"/>
          <w:color w:val="000000"/>
        </w:rPr>
        <w:t xml:space="preserve">. </w:t>
      </w:r>
      <w:r w:rsidR="00B82CA2">
        <w:rPr>
          <w:rFonts w:ascii="Times New Roman" w:hAnsi="Times New Roman" w:cs="Times New Roman"/>
          <w:color w:val="000000"/>
        </w:rPr>
        <w:t>T</w:t>
      </w:r>
      <w:r w:rsidR="00044113" w:rsidRPr="00DF2B53">
        <w:rPr>
          <w:rFonts w:ascii="Times New Roman" w:hAnsi="Times New Roman" w:cs="Times New Roman"/>
          <w:color w:val="000000"/>
        </w:rPr>
        <w:t xml:space="preserve">he executive which initially </w:t>
      </w:r>
      <w:r w:rsidR="00B82CA2">
        <w:rPr>
          <w:rFonts w:ascii="Times New Roman" w:hAnsi="Times New Roman" w:cs="Times New Roman"/>
          <w:color w:val="000000"/>
        </w:rPr>
        <w:t>decided</w:t>
      </w:r>
      <w:r w:rsidR="00044113" w:rsidRPr="00DF2B53">
        <w:rPr>
          <w:rFonts w:ascii="Times New Roman" w:hAnsi="Times New Roman" w:cs="Times New Roman"/>
          <w:color w:val="000000"/>
        </w:rPr>
        <w:t xml:space="preserve"> on</w:t>
      </w:r>
      <w:r w:rsidR="009C2D41" w:rsidRPr="00DF2B53">
        <w:rPr>
          <w:rFonts w:ascii="Times New Roman" w:hAnsi="Times New Roman" w:cs="Times New Roman"/>
          <w:color w:val="000000"/>
        </w:rPr>
        <w:t xml:space="preserve"> the regulations was rationally motivated </w:t>
      </w:r>
      <w:r w:rsidR="009C2D41" w:rsidRPr="00DF2B53">
        <w:rPr>
          <w:rFonts w:ascii="Times New Roman" w:hAnsi="Times New Roman" w:cs="Times New Roman"/>
          <w:i/>
          <w:iCs/>
          <w:color w:val="000000"/>
        </w:rPr>
        <w:t xml:space="preserve">against </w:t>
      </w:r>
      <w:r w:rsidR="009C2D41" w:rsidRPr="00DF2B53">
        <w:rPr>
          <w:rFonts w:ascii="Times New Roman" w:hAnsi="Times New Roman" w:cs="Times New Roman"/>
          <w:color w:val="000000"/>
        </w:rPr>
        <w:t xml:space="preserve">overreach, as </w:t>
      </w:r>
      <w:r w:rsidR="00231602" w:rsidRPr="00DF2B53">
        <w:rPr>
          <w:rFonts w:ascii="Times New Roman" w:hAnsi="Times New Roman" w:cs="Times New Roman"/>
          <w:color w:val="000000"/>
        </w:rPr>
        <w:t xml:space="preserve">by engaging in overreach, it would have strengthened the powers of the opposition which </w:t>
      </w:r>
      <w:r w:rsidR="00B82CA2">
        <w:rPr>
          <w:rFonts w:ascii="Times New Roman" w:hAnsi="Times New Roman" w:cs="Times New Roman"/>
          <w:color w:val="000000"/>
        </w:rPr>
        <w:t>replaced it a few weeks later</w:t>
      </w:r>
      <w:r w:rsidR="00231602" w:rsidRPr="00DF2B53">
        <w:rPr>
          <w:rFonts w:ascii="Times New Roman" w:hAnsi="Times New Roman" w:cs="Times New Roman"/>
          <w:color w:val="000000"/>
        </w:rPr>
        <w:t>.</w:t>
      </w:r>
      <w:r w:rsidR="009315CB" w:rsidRPr="00DF2B53">
        <w:rPr>
          <w:rFonts w:ascii="Times New Roman" w:hAnsi="Times New Roman" w:cs="Times New Roman"/>
          <w:color w:val="000000"/>
        </w:rPr>
        <w:t xml:space="preserve"> Furthermore, while neither the outgoing nor the incoming leaders could be seen as particularly committed to democracy</w:t>
      </w:r>
      <w:r w:rsidR="00F2723B" w:rsidRPr="00DF2B53">
        <w:rPr>
          <w:rFonts w:ascii="Times New Roman" w:hAnsi="Times New Roman" w:cs="Times New Roman"/>
          <w:color w:val="000000"/>
        </w:rPr>
        <w:t xml:space="preserve">, </w:t>
      </w:r>
      <w:r w:rsidR="00377BC1">
        <w:rPr>
          <w:rFonts w:ascii="Times New Roman" w:hAnsi="Times New Roman" w:cs="Times New Roman"/>
          <w:color w:val="000000"/>
        </w:rPr>
        <w:t>n</w:t>
      </w:r>
      <w:r w:rsidR="009315CB" w:rsidRPr="00DF2B53">
        <w:rPr>
          <w:rFonts w:ascii="Times New Roman" w:hAnsi="Times New Roman" w:cs="Times New Roman"/>
          <w:color w:val="000000"/>
        </w:rPr>
        <w:t xml:space="preserve">or did they represent </w:t>
      </w:r>
      <w:r w:rsidR="00C10DBD" w:rsidRPr="00DF2B53">
        <w:rPr>
          <w:rFonts w:ascii="Times New Roman" w:hAnsi="Times New Roman" w:cs="Times New Roman"/>
          <w:color w:val="000000"/>
        </w:rPr>
        <w:t>it</w:t>
      </w:r>
      <w:r w:rsidR="00B82CA2">
        <w:rPr>
          <w:rFonts w:ascii="Times New Roman" w:hAnsi="Times New Roman" w:cs="Times New Roman"/>
          <w:color w:val="000000"/>
        </w:rPr>
        <w:t xml:space="preserve">s </w:t>
      </w:r>
      <w:r w:rsidR="00C10DBD" w:rsidRPr="00DF2B53">
        <w:rPr>
          <w:rFonts w:ascii="Times New Roman" w:hAnsi="Times New Roman" w:cs="Times New Roman"/>
          <w:color w:val="000000"/>
        </w:rPr>
        <w:t>outspoken opponents</w:t>
      </w:r>
      <w:r w:rsidR="00B82CA2">
        <w:rPr>
          <w:rFonts w:ascii="Times New Roman" w:hAnsi="Times New Roman" w:cs="Times New Roman"/>
          <w:color w:val="000000"/>
        </w:rPr>
        <w:t xml:space="preserve"> (</w:t>
      </w:r>
      <w:r w:rsidR="00E24F0E" w:rsidRPr="00DF2B53">
        <w:rPr>
          <w:rFonts w:ascii="Times New Roman" w:hAnsi="Times New Roman" w:cs="Times New Roman"/>
          <w:color w:val="000000"/>
        </w:rPr>
        <w:t>unlike in neighbouring Hungary and Poland</w:t>
      </w:r>
      <w:r w:rsidR="00B82CA2">
        <w:rPr>
          <w:rFonts w:ascii="Times New Roman" w:hAnsi="Times New Roman" w:cs="Times New Roman"/>
          <w:color w:val="000000"/>
        </w:rPr>
        <w:t>)</w:t>
      </w:r>
      <w:r w:rsidR="00E24F0E" w:rsidRPr="00DF2B53">
        <w:rPr>
          <w:rFonts w:ascii="Times New Roman" w:hAnsi="Times New Roman" w:cs="Times New Roman"/>
          <w:color w:val="000000"/>
        </w:rPr>
        <w:t>.</w:t>
      </w:r>
      <w:r w:rsidR="00647131" w:rsidRPr="00DC52BD">
        <w:rPr>
          <w:rStyle w:val="FootnoteReference"/>
        </w:rPr>
        <w:footnoteReference w:id="45"/>
      </w:r>
      <w:r w:rsidR="00BC01BF" w:rsidRPr="00DF2B53">
        <w:rPr>
          <w:rFonts w:ascii="Times New Roman" w:hAnsi="Times New Roman" w:cs="Times New Roman"/>
          <w:color w:val="000000"/>
        </w:rPr>
        <w:t xml:space="preserve">  </w:t>
      </w:r>
      <w:r w:rsidR="00446692" w:rsidRPr="00DF2B53">
        <w:rPr>
          <w:rFonts w:ascii="Times New Roman" w:hAnsi="Times New Roman" w:cs="Times New Roman"/>
          <w:color w:val="000000"/>
        </w:rPr>
        <w:t xml:space="preserve"> </w:t>
      </w:r>
    </w:p>
    <w:p w14:paraId="3592FD0F" w14:textId="77777777" w:rsidR="007517DF" w:rsidRPr="00DF2B53" w:rsidRDefault="007517DF" w:rsidP="00814CE1">
      <w:pPr>
        <w:jc w:val="both"/>
        <w:rPr>
          <w:rFonts w:ascii="Times New Roman" w:hAnsi="Times New Roman" w:cs="Times New Roman"/>
          <w:color w:val="000000"/>
        </w:rPr>
      </w:pPr>
    </w:p>
    <w:p w14:paraId="7B533777" w14:textId="1B3CF5D6" w:rsidR="005E0E3C" w:rsidRPr="00DF2B53" w:rsidRDefault="007517DF" w:rsidP="00814CE1">
      <w:pPr>
        <w:jc w:val="both"/>
        <w:rPr>
          <w:rFonts w:ascii="Times New Roman" w:hAnsi="Times New Roman" w:cs="Times New Roman"/>
          <w:color w:val="000000"/>
        </w:rPr>
      </w:pPr>
      <w:r w:rsidRPr="00DF2B53">
        <w:rPr>
          <w:rFonts w:ascii="Times New Roman" w:hAnsi="Times New Roman" w:cs="Times New Roman"/>
          <w:color w:val="000000"/>
        </w:rPr>
        <w:t>Slo</w:t>
      </w:r>
      <w:r w:rsidR="00764C71" w:rsidRPr="00DF2B53">
        <w:rPr>
          <w:rFonts w:ascii="Times New Roman" w:hAnsi="Times New Roman" w:cs="Times New Roman"/>
          <w:color w:val="000000"/>
        </w:rPr>
        <w:t>v</w:t>
      </w:r>
      <w:r w:rsidRPr="00DF2B53">
        <w:rPr>
          <w:rFonts w:ascii="Times New Roman" w:hAnsi="Times New Roman" w:cs="Times New Roman"/>
          <w:color w:val="000000"/>
        </w:rPr>
        <w:t xml:space="preserve">ak political leaders had the option to </w:t>
      </w:r>
      <w:r w:rsidR="00C71343" w:rsidRPr="00DF2B53">
        <w:rPr>
          <w:rFonts w:ascii="Times New Roman" w:hAnsi="Times New Roman" w:cs="Times New Roman"/>
          <w:color w:val="000000"/>
        </w:rPr>
        <w:t xml:space="preserve">declare the state of emergency. </w:t>
      </w:r>
      <w:r w:rsidR="00CF04CF" w:rsidRPr="00DF2B53">
        <w:rPr>
          <w:rFonts w:ascii="Times New Roman" w:hAnsi="Times New Roman" w:cs="Times New Roman"/>
          <w:color w:val="000000"/>
        </w:rPr>
        <w:t xml:space="preserve">Four </w:t>
      </w:r>
      <w:proofErr w:type="spellStart"/>
      <w:r w:rsidR="00CF04CF" w:rsidRPr="00DF2B53">
        <w:rPr>
          <w:rFonts w:ascii="Times New Roman" w:hAnsi="Times New Roman" w:cs="Times New Roman"/>
          <w:color w:val="000000"/>
        </w:rPr>
        <w:t>SsoE</w:t>
      </w:r>
      <w:proofErr w:type="spellEnd"/>
      <w:r w:rsidR="00CF04CF" w:rsidRPr="00DF2B53">
        <w:rPr>
          <w:rFonts w:ascii="Times New Roman" w:hAnsi="Times New Roman" w:cs="Times New Roman"/>
          <w:color w:val="000000"/>
        </w:rPr>
        <w:t xml:space="preserve"> are introduced by a constitutional act (a type of legislation requiring a three-fifth majority in the Slovak parliament</w:t>
      </w:r>
      <w:r w:rsidR="00A00DCA" w:rsidRPr="00DF2B53">
        <w:rPr>
          <w:rFonts w:ascii="Times New Roman" w:hAnsi="Times New Roman" w:cs="Times New Roman"/>
          <w:color w:val="000000"/>
        </w:rPr>
        <w:t xml:space="preserve"> [National Council]</w:t>
      </w:r>
      <w:r w:rsidR="00CF04CF" w:rsidRPr="00DF2B53">
        <w:rPr>
          <w:rFonts w:ascii="Times New Roman" w:hAnsi="Times New Roman" w:cs="Times New Roman"/>
          <w:color w:val="000000"/>
        </w:rPr>
        <w:t xml:space="preserve"> to be adopted or amended)</w:t>
      </w:r>
      <w:r w:rsidR="00360558">
        <w:rPr>
          <w:rFonts w:ascii="Times New Roman" w:hAnsi="Times New Roman" w:cs="Times New Roman"/>
          <w:color w:val="000000"/>
        </w:rPr>
        <w:t>.</w:t>
      </w:r>
      <w:r w:rsidR="00CF04CF" w:rsidRPr="00DC52BD">
        <w:rPr>
          <w:rStyle w:val="FootnoteReference"/>
        </w:rPr>
        <w:footnoteReference w:id="46"/>
      </w:r>
      <w:r w:rsidR="00CF04CF" w:rsidRPr="00DF2B53">
        <w:rPr>
          <w:rFonts w:ascii="Times New Roman" w:hAnsi="Times New Roman" w:cs="Times New Roman"/>
          <w:color w:val="000000"/>
        </w:rPr>
        <w:t xml:space="preserve"> </w:t>
      </w:r>
      <w:r w:rsidR="00360558">
        <w:rPr>
          <w:rFonts w:ascii="Times New Roman" w:hAnsi="Times New Roman" w:cs="Times New Roman"/>
          <w:color w:val="000000"/>
        </w:rPr>
        <w:t>O</w:t>
      </w:r>
      <w:r w:rsidR="00CF04CF" w:rsidRPr="00DF2B53">
        <w:rPr>
          <w:rFonts w:ascii="Times New Roman" w:hAnsi="Times New Roman" w:cs="Times New Roman"/>
          <w:color w:val="000000"/>
        </w:rPr>
        <w:t>ne of them, confusingly called ‘state of emergency’</w:t>
      </w:r>
      <w:r w:rsidR="00711D62" w:rsidRPr="00DF2B53">
        <w:rPr>
          <w:rFonts w:ascii="Times New Roman" w:hAnsi="Times New Roman" w:cs="Times New Roman"/>
          <w:color w:val="000000"/>
        </w:rPr>
        <w:t xml:space="preserve"> </w:t>
      </w:r>
      <w:r w:rsidR="00360558">
        <w:rPr>
          <w:rFonts w:ascii="Times New Roman" w:hAnsi="Times New Roman" w:cs="Times New Roman"/>
          <w:color w:val="000000"/>
        </w:rPr>
        <w:t xml:space="preserve">as well </w:t>
      </w:r>
      <w:r w:rsidR="00711D62" w:rsidRPr="00DF2B53">
        <w:rPr>
          <w:rFonts w:ascii="Times New Roman" w:hAnsi="Times New Roman" w:cs="Times New Roman"/>
          <w:color w:val="000000"/>
        </w:rPr>
        <w:t>(</w:t>
      </w:r>
      <w:proofErr w:type="spellStart"/>
      <w:r w:rsidR="00711D62" w:rsidRPr="00DF2B53">
        <w:rPr>
          <w:rFonts w:ascii="Times New Roman" w:hAnsi="Times New Roman" w:cs="Times New Roman"/>
          <w:color w:val="000000"/>
        </w:rPr>
        <w:t>SoE</w:t>
      </w:r>
      <w:proofErr w:type="spellEnd"/>
      <w:r w:rsidR="00711D62" w:rsidRPr="00DF2B53">
        <w:rPr>
          <w:rFonts w:ascii="Times New Roman" w:hAnsi="Times New Roman" w:cs="Times New Roman"/>
          <w:color w:val="000000"/>
        </w:rPr>
        <w:t xml:space="preserve">, </w:t>
      </w:r>
      <w:proofErr w:type="spellStart"/>
      <w:r w:rsidR="00CF04CF" w:rsidRPr="00DF2B53">
        <w:rPr>
          <w:rFonts w:ascii="Times New Roman" w:hAnsi="Times New Roman" w:cs="Times New Roman"/>
          <w:i/>
          <w:iCs/>
          <w:color w:val="000000"/>
        </w:rPr>
        <w:t>núdzový</w:t>
      </w:r>
      <w:proofErr w:type="spellEnd"/>
      <w:r w:rsidR="00CF04CF" w:rsidRPr="00DF2B53">
        <w:rPr>
          <w:rFonts w:ascii="Times New Roman" w:hAnsi="Times New Roman" w:cs="Times New Roman"/>
          <w:i/>
          <w:iCs/>
          <w:color w:val="000000"/>
        </w:rPr>
        <w:t xml:space="preserve"> </w:t>
      </w:r>
      <w:proofErr w:type="spellStart"/>
      <w:r w:rsidR="00CF04CF" w:rsidRPr="00DF2B53">
        <w:rPr>
          <w:rFonts w:ascii="Times New Roman" w:hAnsi="Times New Roman" w:cs="Times New Roman"/>
          <w:i/>
          <w:iCs/>
          <w:color w:val="000000"/>
        </w:rPr>
        <w:t>stav</w:t>
      </w:r>
      <w:proofErr w:type="spellEnd"/>
      <w:r w:rsidR="00CF04CF" w:rsidRPr="00DF2B53">
        <w:rPr>
          <w:rFonts w:ascii="Times New Roman" w:hAnsi="Times New Roman" w:cs="Times New Roman"/>
          <w:i/>
          <w:iCs/>
          <w:color w:val="000000"/>
        </w:rPr>
        <w:t>)</w:t>
      </w:r>
      <w:r w:rsidR="00360558">
        <w:rPr>
          <w:rFonts w:ascii="Times New Roman" w:hAnsi="Times New Roman" w:cs="Times New Roman"/>
          <w:color w:val="000000"/>
        </w:rPr>
        <w:t xml:space="preserve"> is </w:t>
      </w:r>
      <w:r w:rsidR="00CF04CF" w:rsidRPr="00DF2B53">
        <w:rPr>
          <w:rFonts w:ascii="Times New Roman" w:hAnsi="Times New Roman" w:cs="Times New Roman"/>
          <w:color w:val="000000"/>
        </w:rPr>
        <w:t>reserved to natural disasters</w:t>
      </w:r>
      <w:r w:rsidR="00360558">
        <w:rPr>
          <w:rFonts w:ascii="Times New Roman" w:hAnsi="Times New Roman" w:cs="Times New Roman"/>
          <w:color w:val="000000"/>
        </w:rPr>
        <w:t xml:space="preserve"> including pandemics</w:t>
      </w:r>
      <w:r w:rsidR="000B7D6D" w:rsidRPr="00DF2B53">
        <w:rPr>
          <w:rFonts w:ascii="Times New Roman" w:hAnsi="Times New Roman" w:cs="Times New Roman"/>
          <w:color w:val="000000"/>
        </w:rPr>
        <w:t xml:space="preserve">. </w:t>
      </w:r>
      <w:r w:rsidR="00BA70EA" w:rsidRPr="00DF2B53">
        <w:rPr>
          <w:rFonts w:ascii="Times New Roman" w:hAnsi="Times New Roman" w:cs="Times New Roman"/>
          <w:color w:val="000000"/>
        </w:rPr>
        <w:t xml:space="preserve">This </w:t>
      </w:r>
      <w:proofErr w:type="spellStart"/>
      <w:r w:rsidR="00BA70EA" w:rsidRPr="00DF2B53">
        <w:rPr>
          <w:rFonts w:ascii="Times New Roman" w:hAnsi="Times New Roman" w:cs="Times New Roman"/>
          <w:color w:val="000000"/>
        </w:rPr>
        <w:t>SoE</w:t>
      </w:r>
      <w:proofErr w:type="spellEnd"/>
      <w:r w:rsidR="00BA70EA" w:rsidRPr="00DF2B53">
        <w:rPr>
          <w:rFonts w:ascii="Times New Roman" w:hAnsi="Times New Roman" w:cs="Times New Roman"/>
          <w:color w:val="000000"/>
        </w:rPr>
        <w:t xml:space="preserve"> may last maximum 90 days, after which it can be prolonged for 40 days.</w:t>
      </w:r>
      <w:r w:rsidR="00C245E0" w:rsidRPr="00DC52BD">
        <w:rPr>
          <w:rStyle w:val="FootnoteReference"/>
        </w:rPr>
        <w:footnoteReference w:id="47"/>
      </w:r>
      <w:r w:rsidR="00E45960" w:rsidRPr="00DF2B53">
        <w:rPr>
          <w:rFonts w:ascii="Times New Roman" w:hAnsi="Times New Roman" w:cs="Times New Roman"/>
          <w:color w:val="000000"/>
        </w:rPr>
        <w:t xml:space="preserve"> In spring 2020, the </w:t>
      </w:r>
      <w:proofErr w:type="spellStart"/>
      <w:r w:rsidR="00711D62" w:rsidRPr="00DF2B53">
        <w:rPr>
          <w:rFonts w:ascii="Times New Roman" w:hAnsi="Times New Roman" w:cs="Times New Roman"/>
          <w:color w:val="000000"/>
        </w:rPr>
        <w:t>SoE</w:t>
      </w:r>
      <w:proofErr w:type="spellEnd"/>
      <w:r w:rsidR="00E45960" w:rsidRPr="00DF2B53">
        <w:rPr>
          <w:rFonts w:ascii="Times New Roman" w:hAnsi="Times New Roman" w:cs="Times New Roman"/>
          <w:color w:val="000000"/>
        </w:rPr>
        <w:t xml:space="preserve"> did not have to be validated by an</w:t>
      </w:r>
      <w:r w:rsidR="006939B3">
        <w:rPr>
          <w:rFonts w:ascii="Times New Roman" w:hAnsi="Times New Roman" w:cs="Times New Roman"/>
          <w:color w:val="000000"/>
        </w:rPr>
        <w:t>other</w:t>
      </w:r>
      <w:r w:rsidR="00E45960" w:rsidRPr="00DF2B53">
        <w:rPr>
          <w:rFonts w:ascii="Times New Roman" w:hAnsi="Times New Roman" w:cs="Times New Roman"/>
          <w:color w:val="000000"/>
        </w:rPr>
        <w:t xml:space="preserve"> institution, though the</w:t>
      </w:r>
      <w:r w:rsidR="009A58FE" w:rsidRPr="00DF2B53">
        <w:rPr>
          <w:rFonts w:ascii="Times New Roman" w:hAnsi="Times New Roman" w:cs="Times New Roman"/>
          <w:color w:val="000000"/>
        </w:rPr>
        <w:t xml:space="preserve"> Slovak</w:t>
      </w:r>
      <w:r w:rsidR="00E45960" w:rsidRPr="00DF2B53">
        <w:rPr>
          <w:rFonts w:ascii="Times New Roman" w:hAnsi="Times New Roman" w:cs="Times New Roman"/>
          <w:color w:val="000000"/>
        </w:rPr>
        <w:t xml:space="preserve"> Constitutional Court</w:t>
      </w:r>
      <w:r w:rsidR="009A58FE" w:rsidRPr="00DF2B53">
        <w:rPr>
          <w:rFonts w:ascii="Times New Roman" w:hAnsi="Times New Roman" w:cs="Times New Roman"/>
          <w:color w:val="000000"/>
        </w:rPr>
        <w:t xml:space="preserve"> (SCC)</w:t>
      </w:r>
      <w:r w:rsidR="00E45960" w:rsidRPr="00DF2B53">
        <w:rPr>
          <w:rFonts w:ascii="Times New Roman" w:hAnsi="Times New Roman" w:cs="Times New Roman"/>
          <w:color w:val="000000"/>
        </w:rPr>
        <w:t xml:space="preserve"> had the competence to review its constitutionality </w:t>
      </w:r>
      <w:r w:rsidR="00EE2EE6">
        <w:rPr>
          <w:rFonts w:ascii="Times New Roman" w:hAnsi="Times New Roman" w:cs="Times New Roman"/>
          <w:i/>
          <w:iCs/>
          <w:color w:val="000000"/>
        </w:rPr>
        <w:t xml:space="preserve">ex post </w:t>
      </w:r>
      <w:r w:rsidR="00E45960" w:rsidRPr="00DF2B53">
        <w:rPr>
          <w:rFonts w:ascii="Times New Roman" w:hAnsi="Times New Roman" w:cs="Times New Roman"/>
          <w:color w:val="000000"/>
        </w:rPr>
        <w:t xml:space="preserve">upon request from </w:t>
      </w:r>
      <w:r w:rsidR="00EE2EE6">
        <w:rPr>
          <w:rFonts w:ascii="Times New Roman" w:hAnsi="Times New Roman" w:cs="Times New Roman"/>
          <w:color w:val="000000"/>
        </w:rPr>
        <w:t>an</w:t>
      </w:r>
      <w:r w:rsidR="00E45960" w:rsidRPr="00DF2B53">
        <w:rPr>
          <w:rFonts w:ascii="Times New Roman" w:hAnsi="Times New Roman" w:cs="Times New Roman"/>
          <w:color w:val="000000"/>
        </w:rPr>
        <w:t xml:space="preserve"> eligible petitioner.</w:t>
      </w:r>
      <w:r w:rsidR="00E840BA" w:rsidRPr="00DC52BD">
        <w:rPr>
          <w:rStyle w:val="FootnoteReference"/>
        </w:rPr>
        <w:footnoteReference w:id="48"/>
      </w:r>
    </w:p>
    <w:p w14:paraId="5780D13E" w14:textId="77777777" w:rsidR="005E0E3C" w:rsidRPr="00DF2B53" w:rsidRDefault="005E0E3C" w:rsidP="00814CE1">
      <w:pPr>
        <w:jc w:val="both"/>
        <w:rPr>
          <w:rFonts w:ascii="Times New Roman" w:hAnsi="Times New Roman" w:cs="Times New Roman"/>
          <w:color w:val="000000"/>
        </w:rPr>
      </w:pPr>
    </w:p>
    <w:p w14:paraId="08B0C188" w14:textId="75702504" w:rsidR="008702D4" w:rsidRPr="00DF2B53" w:rsidRDefault="005E0E3C" w:rsidP="00814CE1">
      <w:pPr>
        <w:jc w:val="both"/>
        <w:rPr>
          <w:rFonts w:ascii="Times New Roman" w:hAnsi="Times New Roman" w:cs="Times New Roman"/>
          <w:color w:val="000000"/>
        </w:rPr>
      </w:pPr>
      <w:r w:rsidRPr="00DF2B53">
        <w:rPr>
          <w:rFonts w:ascii="Times New Roman" w:hAnsi="Times New Roman" w:cs="Times New Roman"/>
          <w:color w:val="000000"/>
        </w:rPr>
        <w:t xml:space="preserve">The </w:t>
      </w:r>
      <w:r w:rsidR="00251362" w:rsidRPr="00DF2B53">
        <w:rPr>
          <w:rFonts w:ascii="Times New Roman" w:hAnsi="Times New Roman" w:cs="Times New Roman"/>
          <w:color w:val="000000"/>
        </w:rPr>
        <w:t xml:space="preserve">outgoing </w:t>
      </w:r>
      <w:r w:rsidRPr="00DF2B53">
        <w:rPr>
          <w:rFonts w:ascii="Times New Roman" w:hAnsi="Times New Roman" w:cs="Times New Roman"/>
          <w:color w:val="000000"/>
        </w:rPr>
        <w:t xml:space="preserve">executive promptly declared a </w:t>
      </w:r>
      <w:proofErr w:type="spellStart"/>
      <w:r w:rsidRPr="00DF2B53">
        <w:rPr>
          <w:rFonts w:ascii="Times New Roman" w:hAnsi="Times New Roman" w:cs="Times New Roman"/>
          <w:color w:val="000000"/>
        </w:rPr>
        <w:t>SoE</w:t>
      </w:r>
      <w:proofErr w:type="spellEnd"/>
      <w:r w:rsidRPr="00DF2B53">
        <w:rPr>
          <w:rFonts w:ascii="Times New Roman" w:hAnsi="Times New Roman" w:cs="Times New Roman"/>
          <w:color w:val="000000"/>
        </w:rPr>
        <w:t xml:space="preserve">, </w:t>
      </w:r>
      <w:r w:rsidR="00251362" w:rsidRPr="00DF2B53">
        <w:rPr>
          <w:rFonts w:ascii="Times New Roman" w:hAnsi="Times New Roman" w:cs="Times New Roman"/>
          <w:color w:val="000000"/>
        </w:rPr>
        <w:t>on 16</w:t>
      </w:r>
      <w:r w:rsidR="00BF5D06">
        <w:rPr>
          <w:rFonts w:ascii="Times New Roman" w:hAnsi="Times New Roman" w:cs="Times New Roman"/>
          <w:color w:val="000000"/>
        </w:rPr>
        <w:t>.3.</w:t>
      </w:r>
      <w:r w:rsidR="00251362" w:rsidRPr="00DF2B53">
        <w:rPr>
          <w:rFonts w:ascii="Times New Roman" w:hAnsi="Times New Roman" w:cs="Times New Roman"/>
          <w:color w:val="000000"/>
        </w:rPr>
        <w:t>2020</w:t>
      </w:r>
      <w:r w:rsidRPr="00DF2B53">
        <w:rPr>
          <w:rFonts w:ascii="Times New Roman" w:hAnsi="Times New Roman" w:cs="Times New Roman"/>
          <w:color w:val="000000"/>
        </w:rPr>
        <w:t xml:space="preserve">, only for health professionals, extending </w:t>
      </w:r>
      <w:r w:rsidR="00251362" w:rsidRPr="00DF2B53">
        <w:rPr>
          <w:rFonts w:ascii="Times New Roman" w:hAnsi="Times New Roman" w:cs="Times New Roman"/>
          <w:color w:val="000000"/>
        </w:rPr>
        <w:t xml:space="preserve">it to </w:t>
      </w:r>
      <w:r w:rsidR="00BF5D06">
        <w:rPr>
          <w:rFonts w:ascii="Times New Roman" w:hAnsi="Times New Roman" w:cs="Times New Roman"/>
          <w:color w:val="000000"/>
        </w:rPr>
        <w:t xml:space="preserve">a general </w:t>
      </w:r>
      <w:proofErr w:type="spellStart"/>
      <w:r w:rsidR="00BF5D06">
        <w:rPr>
          <w:rFonts w:ascii="Times New Roman" w:hAnsi="Times New Roman" w:cs="Times New Roman"/>
          <w:color w:val="000000"/>
        </w:rPr>
        <w:t>SoE</w:t>
      </w:r>
      <w:proofErr w:type="spellEnd"/>
      <w:r w:rsidR="00BF5D06">
        <w:rPr>
          <w:rFonts w:ascii="Times New Roman" w:hAnsi="Times New Roman" w:cs="Times New Roman"/>
          <w:color w:val="000000"/>
        </w:rPr>
        <w:t xml:space="preserve"> </w:t>
      </w:r>
      <w:r w:rsidR="00251362" w:rsidRPr="00DF2B53">
        <w:rPr>
          <w:rFonts w:ascii="Times New Roman" w:hAnsi="Times New Roman" w:cs="Times New Roman"/>
          <w:color w:val="000000"/>
        </w:rPr>
        <w:t>three days later</w:t>
      </w:r>
      <w:r w:rsidR="00432055">
        <w:rPr>
          <w:rFonts w:ascii="Times New Roman" w:hAnsi="Times New Roman" w:cs="Times New Roman"/>
          <w:color w:val="000000"/>
        </w:rPr>
        <w:t xml:space="preserve"> as the</w:t>
      </w:r>
      <w:r w:rsidR="00B62AD6" w:rsidRPr="00DF2B53">
        <w:rPr>
          <w:rFonts w:ascii="Times New Roman" w:hAnsi="Times New Roman" w:cs="Times New Roman"/>
          <w:color w:val="000000"/>
        </w:rPr>
        <w:t xml:space="preserve"> first substantial experience</w:t>
      </w:r>
      <w:r w:rsidR="00432055">
        <w:rPr>
          <w:rFonts w:ascii="Times New Roman" w:hAnsi="Times New Roman" w:cs="Times New Roman"/>
          <w:color w:val="000000"/>
        </w:rPr>
        <w:t xml:space="preserve"> of the regime </w:t>
      </w:r>
      <w:r w:rsidR="00B62AD6" w:rsidRPr="00DF2B53">
        <w:rPr>
          <w:rFonts w:ascii="Times New Roman" w:hAnsi="Times New Roman" w:cs="Times New Roman"/>
          <w:color w:val="000000"/>
        </w:rPr>
        <w:t xml:space="preserve">with </w:t>
      </w:r>
      <w:r w:rsidR="00BF5D06">
        <w:rPr>
          <w:rFonts w:ascii="Times New Roman" w:hAnsi="Times New Roman" w:cs="Times New Roman"/>
          <w:color w:val="000000"/>
        </w:rPr>
        <w:t xml:space="preserve">the </w:t>
      </w:r>
      <w:proofErr w:type="spellStart"/>
      <w:r w:rsidR="00B62AD6" w:rsidRPr="00DF2B53">
        <w:rPr>
          <w:rFonts w:ascii="Times New Roman" w:hAnsi="Times New Roman" w:cs="Times New Roman"/>
          <w:color w:val="000000"/>
        </w:rPr>
        <w:t>SoE</w:t>
      </w:r>
      <w:proofErr w:type="spellEnd"/>
      <w:r w:rsidR="00B62AD6" w:rsidRPr="00DF2B53">
        <w:rPr>
          <w:rFonts w:ascii="Times New Roman" w:hAnsi="Times New Roman" w:cs="Times New Roman"/>
          <w:color w:val="000000"/>
        </w:rPr>
        <w:t xml:space="preserve"> </w:t>
      </w:r>
      <w:r w:rsidR="00432055">
        <w:rPr>
          <w:rFonts w:ascii="Times New Roman" w:hAnsi="Times New Roman" w:cs="Times New Roman"/>
          <w:color w:val="000000"/>
        </w:rPr>
        <w:t>since its establishment in 1993</w:t>
      </w:r>
      <w:r w:rsidR="00EC62CC" w:rsidRPr="00DF2B53">
        <w:rPr>
          <w:rFonts w:ascii="Times New Roman" w:hAnsi="Times New Roman" w:cs="Times New Roman"/>
          <w:color w:val="000000"/>
        </w:rPr>
        <w:t xml:space="preserve">. </w:t>
      </w:r>
      <w:r w:rsidR="00251362" w:rsidRPr="00DF2B53">
        <w:rPr>
          <w:rFonts w:ascii="Times New Roman" w:hAnsi="Times New Roman" w:cs="Times New Roman"/>
          <w:color w:val="000000"/>
        </w:rPr>
        <w:t xml:space="preserve">The </w:t>
      </w:r>
      <w:proofErr w:type="spellStart"/>
      <w:r w:rsidR="00EC62CC" w:rsidRPr="00DF2B53">
        <w:rPr>
          <w:rFonts w:ascii="Times New Roman" w:hAnsi="Times New Roman" w:cs="Times New Roman"/>
          <w:color w:val="000000"/>
        </w:rPr>
        <w:t>SoE</w:t>
      </w:r>
      <w:proofErr w:type="spellEnd"/>
      <w:r w:rsidR="00EC62CC" w:rsidRPr="00DF2B53">
        <w:rPr>
          <w:rFonts w:ascii="Times New Roman" w:hAnsi="Times New Roman" w:cs="Times New Roman"/>
          <w:color w:val="000000"/>
        </w:rPr>
        <w:t xml:space="preserve"> </w:t>
      </w:r>
      <w:r w:rsidR="00251362" w:rsidRPr="00DF2B53">
        <w:rPr>
          <w:rFonts w:ascii="Times New Roman" w:hAnsi="Times New Roman" w:cs="Times New Roman"/>
          <w:color w:val="000000"/>
        </w:rPr>
        <w:t xml:space="preserve">gave the executive </w:t>
      </w:r>
      <w:r w:rsidR="00653D62" w:rsidRPr="00DF2B53">
        <w:rPr>
          <w:rFonts w:ascii="Times New Roman" w:hAnsi="Times New Roman" w:cs="Times New Roman"/>
          <w:color w:val="000000"/>
        </w:rPr>
        <w:t xml:space="preserve">enhanced powers to restrict certain human </w:t>
      </w:r>
      <w:proofErr w:type="gramStart"/>
      <w:r w:rsidR="00653D62" w:rsidRPr="00DF2B53">
        <w:rPr>
          <w:rFonts w:ascii="Times New Roman" w:hAnsi="Times New Roman" w:cs="Times New Roman"/>
          <w:color w:val="000000"/>
        </w:rPr>
        <w:t>rights, but</w:t>
      </w:r>
      <w:proofErr w:type="gramEnd"/>
      <w:r w:rsidR="00653D62" w:rsidRPr="00DF2B53">
        <w:rPr>
          <w:rFonts w:ascii="Times New Roman" w:hAnsi="Times New Roman" w:cs="Times New Roman"/>
          <w:color w:val="000000"/>
        </w:rPr>
        <w:t xml:space="preserve"> did not abolish </w:t>
      </w:r>
      <w:r w:rsidR="00F518B8">
        <w:rPr>
          <w:rFonts w:ascii="Times New Roman" w:hAnsi="Times New Roman" w:cs="Times New Roman"/>
          <w:color w:val="000000"/>
        </w:rPr>
        <w:t xml:space="preserve">judicial </w:t>
      </w:r>
      <w:r w:rsidR="00653D62" w:rsidRPr="00DF2B53">
        <w:rPr>
          <w:rFonts w:ascii="Times New Roman" w:hAnsi="Times New Roman" w:cs="Times New Roman"/>
          <w:color w:val="000000"/>
        </w:rPr>
        <w:t xml:space="preserve">review options. </w:t>
      </w:r>
      <w:r w:rsidR="00917EC9">
        <w:rPr>
          <w:rFonts w:ascii="Times New Roman" w:hAnsi="Times New Roman" w:cs="Times New Roman"/>
          <w:color w:val="000000"/>
        </w:rPr>
        <w:t xml:space="preserve">Despite those, leaders opted for </w:t>
      </w:r>
      <w:r w:rsidR="005E1692" w:rsidRPr="00DF2B53">
        <w:rPr>
          <w:rFonts w:ascii="Times New Roman" w:hAnsi="Times New Roman" w:cs="Times New Roman"/>
          <w:color w:val="000000"/>
        </w:rPr>
        <w:t>harsh restrictions on the freedom of movement, including a mandatory state quarantine for returnees from abroad,</w:t>
      </w:r>
      <w:r w:rsidR="002813B9" w:rsidRPr="00DC52BD">
        <w:rPr>
          <w:rStyle w:val="FootnoteReference"/>
        </w:rPr>
        <w:footnoteReference w:id="49"/>
      </w:r>
      <w:r w:rsidR="005E1692" w:rsidRPr="00DF2B53">
        <w:rPr>
          <w:rFonts w:ascii="Times New Roman" w:hAnsi="Times New Roman" w:cs="Times New Roman"/>
          <w:color w:val="000000"/>
        </w:rPr>
        <w:t xml:space="preserve"> later </w:t>
      </w:r>
      <w:r w:rsidR="00A10DD1" w:rsidRPr="00DF2B53">
        <w:rPr>
          <w:rFonts w:ascii="Times New Roman" w:hAnsi="Times New Roman" w:cs="Times New Roman"/>
          <w:color w:val="000000"/>
        </w:rPr>
        <w:t xml:space="preserve">unanimously </w:t>
      </w:r>
      <w:r w:rsidR="005E1692" w:rsidRPr="00DF2B53">
        <w:rPr>
          <w:rFonts w:ascii="Times New Roman" w:hAnsi="Times New Roman" w:cs="Times New Roman"/>
          <w:color w:val="000000"/>
        </w:rPr>
        <w:t xml:space="preserve">declared unconstitutional </w:t>
      </w:r>
      <w:r w:rsidR="001E409E" w:rsidRPr="00DF2B53">
        <w:rPr>
          <w:rFonts w:ascii="Times New Roman" w:hAnsi="Times New Roman" w:cs="Times New Roman"/>
          <w:color w:val="000000"/>
        </w:rPr>
        <w:t>given the violations of human dignity and equal treatment</w:t>
      </w:r>
      <w:r w:rsidR="002F0582" w:rsidRPr="00DF2B53">
        <w:rPr>
          <w:rFonts w:ascii="Times New Roman" w:hAnsi="Times New Roman" w:cs="Times New Roman"/>
          <w:color w:val="000000"/>
        </w:rPr>
        <w:t>.</w:t>
      </w:r>
      <w:r w:rsidR="00226161" w:rsidRPr="00DC52BD">
        <w:rPr>
          <w:rStyle w:val="FootnoteReference"/>
        </w:rPr>
        <w:footnoteReference w:id="50"/>
      </w:r>
      <w:r w:rsidR="00A10DD1" w:rsidRPr="00DF2B53">
        <w:rPr>
          <w:rFonts w:ascii="Times New Roman" w:hAnsi="Times New Roman" w:cs="Times New Roman"/>
        </w:rPr>
        <w:t xml:space="preserve"> </w:t>
      </w:r>
      <w:r w:rsidR="009D61D6">
        <w:rPr>
          <w:rFonts w:ascii="Times New Roman" w:hAnsi="Times New Roman" w:cs="Times New Roman"/>
        </w:rPr>
        <w:t>T</w:t>
      </w:r>
      <w:r w:rsidR="00A10DD1" w:rsidRPr="00DF2B53">
        <w:rPr>
          <w:rFonts w:ascii="Times New Roman" w:hAnsi="Times New Roman" w:cs="Times New Roman"/>
        </w:rPr>
        <w:t xml:space="preserve">hese early measures have been </w:t>
      </w:r>
      <w:r w:rsidR="002A2826">
        <w:rPr>
          <w:rFonts w:ascii="Times New Roman" w:hAnsi="Times New Roman" w:cs="Times New Roman"/>
        </w:rPr>
        <w:t xml:space="preserve">considered as </w:t>
      </w:r>
      <w:r w:rsidR="00A10DD1" w:rsidRPr="00DF2B53">
        <w:rPr>
          <w:rFonts w:ascii="Times New Roman" w:hAnsi="Times New Roman" w:cs="Times New Roman"/>
        </w:rPr>
        <w:t xml:space="preserve">conducive </w:t>
      </w:r>
      <w:r w:rsidR="002A2826">
        <w:rPr>
          <w:rFonts w:ascii="Times New Roman" w:hAnsi="Times New Roman" w:cs="Times New Roman"/>
        </w:rPr>
        <w:t>for</w:t>
      </w:r>
      <w:r w:rsidR="00A10DD1" w:rsidRPr="00DF2B53">
        <w:rPr>
          <w:rFonts w:ascii="Times New Roman" w:hAnsi="Times New Roman" w:cs="Times New Roman"/>
        </w:rPr>
        <w:t xml:space="preserve"> generating an ‘atmosphere of compliance’</w:t>
      </w:r>
      <w:r w:rsidR="00A10DD1" w:rsidRPr="00DC52BD">
        <w:rPr>
          <w:rStyle w:val="FootnoteReference"/>
        </w:rPr>
        <w:footnoteReference w:id="51"/>
      </w:r>
      <w:r w:rsidR="00A10DD1" w:rsidRPr="00DF2B53">
        <w:rPr>
          <w:rFonts w:ascii="Times New Roman" w:hAnsi="Times New Roman" w:cs="Times New Roman"/>
        </w:rPr>
        <w:t xml:space="preserve"> which helped keep cases low in spring 2020</w:t>
      </w:r>
      <w:r w:rsidR="009D61D6">
        <w:rPr>
          <w:rFonts w:ascii="Times New Roman" w:hAnsi="Times New Roman" w:cs="Times New Roman"/>
        </w:rPr>
        <w:t>, but was about to backfire later</w:t>
      </w:r>
      <w:r w:rsidR="00A10DD1" w:rsidRPr="00DF2B53">
        <w:rPr>
          <w:rFonts w:ascii="Times New Roman" w:hAnsi="Times New Roman" w:cs="Times New Roman"/>
        </w:rPr>
        <w:t>.</w:t>
      </w:r>
    </w:p>
    <w:p w14:paraId="18ABC4AE" w14:textId="77777777" w:rsidR="00911124" w:rsidRPr="00DF2B53" w:rsidRDefault="00911124" w:rsidP="00814CE1">
      <w:pPr>
        <w:jc w:val="both"/>
        <w:rPr>
          <w:rFonts w:ascii="Times New Roman" w:hAnsi="Times New Roman" w:cs="Times New Roman"/>
          <w:color w:val="000000"/>
        </w:rPr>
      </w:pPr>
    </w:p>
    <w:p w14:paraId="250F59A7" w14:textId="7D960965" w:rsidR="00911124" w:rsidRPr="00DF2B53" w:rsidRDefault="00A445E5" w:rsidP="00814CE1">
      <w:pPr>
        <w:jc w:val="both"/>
        <w:rPr>
          <w:rFonts w:ascii="Times New Roman" w:hAnsi="Times New Roman" w:cs="Times New Roman"/>
          <w:i/>
          <w:iCs/>
          <w:color w:val="000000"/>
        </w:rPr>
      </w:pPr>
      <w:r>
        <w:rPr>
          <w:rFonts w:ascii="Times New Roman" w:hAnsi="Times New Roman" w:cs="Times New Roman"/>
          <w:color w:val="000000"/>
        </w:rPr>
        <w:t>The</w:t>
      </w:r>
      <w:r w:rsidR="00911124" w:rsidRPr="00DF2B53">
        <w:rPr>
          <w:rFonts w:ascii="Times New Roman" w:hAnsi="Times New Roman" w:cs="Times New Roman"/>
          <w:color w:val="000000"/>
        </w:rPr>
        <w:t xml:space="preserve"> mandatory state quarantine </w:t>
      </w:r>
      <w:r>
        <w:rPr>
          <w:rFonts w:ascii="Times New Roman" w:hAnsi="Times New Roman" w:cs="Times New Roman"/>
          <w:color w:val="000000"/>
        </w:rPr>
        <w:t>is</w:t>
      </w:r>
      <w:r w:rsidR="00911124" w:rsidRPr="00DF2B53">
        <w:rPr>
          <w:rFonts w:ascii="Times New Roman" w:hAnsi="Times New Roman" w:cs="Times New Roman"/>
          <w:color w:val="000000"/>
        </w:rPr>
        <w:t xml:space="preserve"> clear-cut </w:t>
      </w:r>
      <w:r w:rsidR="00084DCE" w:rsidRPr="00DF2B53">
        <w:rPr>
          <w:rFonts w:ascii="Times New Roman" w:hAnsi="Times New Roman" w:cs="Times New Roman"/>
          <w:color w:val="000000"/>
        </w:rPr>
        <w:t>executive overreach</w:t>
      </w:r>
      <w:r w:rsidR="00911A98" w:rsidRPr="00DF2B53">
        <w:rPr>
          <w:rFonts w:ascii="Times New Roman" w:hAnsi="Times New Roman" w:cs="Times New Roman"/>
          <w:color w:val="000000"/>
        </w:rPr>
        <w:t>, rather than a conscious ‘stringency strategy’</w:t>
      </w:r>
      <w:r w:rsidR="00911A98" w:rsidRPr="00DC52BD">
        <w:rPr>
          <w:rStyle w:val="FootnoteReference"/>
        </w:rPr>
        <w:footnoteReference w:id="52"/>
      </w:r>
      <w:r w:rsidR="00911A98" w:rsidRPr="00DF2B53">
        <w:rPr>
          <w:rFonts w:ascii="Times New Roman" w:hAnsi="Times New Roman" w:cs="Times New Roman"/>
          <w:color w:val="000000"/>
        </w:rPr>
        <w:t xml:space="preserve"> consulted with experts</w:t>
      </w:r>
      <w:r w:rsidR="003E3D01">
        <w:rPr>
          <w:rFonts w:ascii="Times New Roman" w:hAnsi="Times New Roman" w:cs="Times New Roman"/>
          <w:color w:val="000000"/>
        </w:rPr>
        <w:t>, who were often not taken seriously by decision makers</w:t>
      </w:r>
      <w:r w:rsidR="00911A98" w:rsidRPr="00DF2B53">
        <w:rPr>
          <w:rFonts w:ascii="Times New Roman" w:hAnsi="Times New Roman" w:cs="Times New Roman"/>
          <w:color w:val="000000"/>
        </w:rPr>
        <w:t>.</w:t>
      </w:r>
      <w:r w:rsidR="003E3D01" w:rsidRPr="00DC52BD">
        <w:rPr>
          <w:rStyle w:val="FootnoteReference"/>
        </w:rPr>
        <w:footnoteReference w:id="53"/>
      </w:r>
      <w:r w:rsidR="00911A98" w:rsidRPr="00DF2B53">
        <w:rPr>
          <w:rFonts w:ascii="Times New Roman" w:hAnsi="Times New Roman" w:cs="Times New Roman"/>
          <w:color w:val="000000"/>
        </w:rPr>
        <w:t xml:space="preserve"> </w:t>
      </w:r>
      <w:r w:rsidR="00F70FEA" w:rsidRPr="00DF2B53">
        <w:rPr>
          <w:rFonts w:ascii="Times New Roman" w:hAnsi="Times New Roman" w:cs="Times New Roman"/>
          <w:color w:val="000000"/>
        </w:rPr>
        <w:t xml:space="preserve">Missing is a clear reason for </w:t>
      </w:r>
      <w:r>
        <w:rPr>
          <w:rFonts w:ascii="Times New Roman" w:hAnsi="Times New Roman" w:cs="Times New Roman"/>
          <w:color w:val="000000"/>
        </w:rPr>
        <w:t>its</w:t>
      </w:r>
      <w:r w:rsidR="009D61D6">
        <w:rPr>
          <w:rFonts w:ascii="Times New Roman" w:hAnsi="Times New Roman" w:cs="Times New Roman"/>
          <w:color w:val="000000"/>
        </w:rPr>
        <w:t xml:space="preserve"> adoption</w:t>
      </w:r>
      <w:r w:rsidR="009F4C3F" w:rsidRPr="00DF2B53">
        <w:rPr>
          <w:rFonts w:ascii="Times New Roman" w:hAnsi="Times New Roman" w:cs="Times New Roman"/>
          <w:color w:val="000000"/>
        </w:rPr>
        <w:t>.</w:t>
      </w:r>
      <w:r w:rsidR="00251307" w:rsidRPr="00DF2B53">
        <w:rPr>
          <w:rFonts w:ascii="Times New Roman" w:hAnsi="Times New Roman" w:cs="Times New Roman"/>
          <w:color w:val="000000"/>
        </w:rPr>
        <w:t xml:space="preserve"> With the </w:t>
      </w:r>
      <w:r w:rsidR="009D61D6">
        <w:rPr>
          <w:rFonts w:ascii="Times New Roman" w:hAnsi="Times New Roman" w:cs="Times New Roman"/>
          <w:color w:val="000000"/>
        </w:rPr>
        <w:t>centralisation of</w:t>
      </w:r>
      <w:r w:rsidR="00251307" w:rsidRPr="00DF2B53">
        <w:rPr>
          <w:rFonts w:ascii="Times New Roman" w:hAnsi="Times New Roman" w:cs="Times New Roman"/>
          <w:color w:val="000000"/>
        </w:rPr>
        <w:t xml:space="preserve"> powers out of question due to the </w:t>
      </w:r>
      <w:r w:rsidR="002A2826">
        <w:rPr>
          <w:rFonts w:ascii="Times New Roman" w:hAnsi="Times New Roman" w:cs="Times New Roman"/>
          <w:color w:val="000000"/>
        </w:rPr>
        <w:t xml:space="preserve">looming </w:t>
      </w:r>
      <w:r w:rsidR="00251307" w:rsidRPr="00DF2B53">
        <w:rPr>
          <w:rFonts w:ascii="Times New Roman" w:hAnsi="Times New Roman" w:cs="Times New Roman"/>
          <w:color w:val="000000"/>
        </w:rPr>
        <w:t>government</w:t>
      </w:r>
      <w:r w:rsidR="00BD7023">
        <w:rPr>
          <w:rFonts w:ascii="Times New Roman" w:hAnsi="Times New Roman" w:cs="Times New Roman"/>
          <w:color w:val="000000"/>
        </w:rPr>
        <w:t xml:space="preserve"> change</w:t>
      </w:r>
      <w:r w:rsidR="00313362" w:rsidRPr="00DF2B53">
        <w:rPr>
          <w:rFonts w:ascii="Times New Roman" w:hAnsi="Times New Roman" w:cs="Times New Roman"/>
          <w:color w:val="000000"/>
        </w:rPr>
        <w:t xml:space="preserve"> and </w:t>
      </w:r>
      <w:r w:rsidR="00667924">
        <w:rPr>
          <w:rFonts w:ascii="Times New Roman" w:hAnsi="Times New Roman" w:cs="Times New Roman"/>
          <w:color w:val="000000"/>
        </w:rPr>
        <w:t xml:space="preserve">expert opinions not corroborating </w:t>
      </w:r>
      <w:r>
        <w:rPr>
          <w:rFonts w:ascii="Times New Roman" w:hAnsi="Times New Roman" w:cs="Times New Roman"/>
          <w:color w:val="000000"/>
        </w:rPr>
        <w:t>the state quarantine</w:t>
      </w:r>
      <w:r w:rsidR="00B5784B" w:rsidRPr="00DF2B53">
        <w:rPr>
          <w:rFonts w:ascii="Times New Roman" w:hAnsi="Times New Roman" w:cs="Times New Roman"/>
          <w:color w:val="000000"/>
        </w:rPr>
        <w:t>, the option of a ‘st</w:t>
      </w:r>
      <w:r w:rsidR="009F4C3F" w:rsidRPr="00DF2B53">
        <w:rPr>
          <w:rFonts w:ascii="Times New Roman" w:hAnsi="Times New Roman" w:cs="Times New Roman"/>
          <w:color w:val="000000"/>
        </w:rPr>
        <w:t>ate in panic’</w:t>
      </w:r>
      <w:r w:rsidR="00667924">
        <w:rPr>
          <w:rFonts w:ascii="Times New Roman" w:hAnsi="Times New Roman" w:cs="Times New Roman"/>
          <w:color w:val="000000"/>
        </w:rPr>
        <w:t xml:space="preserve"> remains.</w:t>
      </w:r>
      <w:r w:rsidR="0049119C" w:rsidRPr="00DC52BD">
        <w:rPr>
          <w:rStyle w:val="FootnoteReference"/>
        </w:rPr>
        <w:footnoteReference w:id="54"/>
      </w:r>
      <w:r w:rsidR="009F4C3F" w:rsidRPr="00DF2B53">
        <w:rPr>
          <w:rFonts w:ascii="Times New Roman" w:hAnsi="Times New Roman" w:cs="Times New Roman"/>
          <w:color w:val="000000"/>
        </w:rPr>
        <w:t xml:space="preserve"> </w:t>
      </w:r>
      <w:r w:rsidR="00667924">
        <w:rPr>
          <w:rFonts w:ascii="Times New Roman" w:hAnsi="Times New Roman" w:cs="Times New Roman"/>
          <w:color w:val="000000"/>
        </w:rPr>
        <w:t xml:space="preserve">In this circumstance, </w:t>
      </w:r>
      <w:r w:rsidR="007D7E90">
        <w:rPr>
          <w:rFonts w:ascii="Times New Roman" w:hAnsi="Times New Roman" w:cs="Times New Roman"/>
          <w:color w:val="000000"/>
        </w:rPr>
        <w:t xml:space="preserve">the </w:t>
      </w:r>
      <w:r w:rsidR="009F4C3F" w:rsidRPr="00DF2B53">
        <w:rPr>
          <w:rFonts w:ascii="Times New Roman" w:hAnsi="Times New Roman" w:cs="Times New Roman"/>
          <w:color w:val="000000"/>
        </w:rPr>
        <w:t>lack of a ‘culture of justification’</w:t>
      </w:r>
      <w:r w:rsidR="007D7E90">
        <w:rPr>
          <w:rFonts w:ascii="Times New Roman" w:hAnsi="Times New Roman" w:cs="Times New Roman"/>
          <w:color w:val="000000"/>
        </w:rPr>
        <w:t xml:space="preserve"> manifests</w:t>
      </w:r>
      <w:r w:rsidR="009F4C3F" w:rsidRPr="00DF2B53">
        <w:rPr>
          <w:rFonts w:ascii="Times New Roman" w:hAnsi="Times New Roman" w:cs="Times New Roman"/>
          <w:color w:val="000000"/>
        </w:rPr>
        <w:t>,</w:t>
      </w:r>
      <w:r>
        <w:rPr>
          <w:rFonts w:ascii="Times New Roman" w:hAnsi="Times New Roman" w:cs="Times New Roman"/>
          <w:color w:val="000000"/>
        </w:rPr>
        <w:t xml:space="preserve"> even</w:t>
      </w:r>
      <w:r w:rsidR="009F4C3F" w:rsidRPr="00DF2B53">
        <w:rPr>
          <w:rFonts w:ascii="Times New Roman" w:hAnsi="Times New Roman" w:cs="Times New Roman"/>
          <w:color w:val="000000"/>
        </w:rPr>
        <w:t xml:space="preserve"> </w:t>
      </w:r>
      <w:r w:rsidR="003075A4" w:rsidRPr="00DF2B53">
        <w:rPr>
          <w:rFonts w:ascii="Times New Roman" w:hAnsi="Times New Roman" w:cs="Times New Roman"/>
          <w:color w:val="000000"/>
        </w:rPr>
        <w:t xml:space="preserve">beyond </w:t>
      </w:r>
      <w:r w:rsidR="0049119C" w:rsidRPr="00DF2B53">
        <w:rPr>
          <w:rFonts w:ascii="Times New Roman" w:hAnsi="Times New Roman" w:cs="Times New Roman"/>
          <w:color w:val="000000"/>
        </w:rPr>
        <w:t xml:space="preserve">the </w:t>
      </w:r>
      <w:proofErr w:type="spellStart"/>
      <w:r w:rsidR="00D83CFA" w:rsidRPr="00DF2B53">
        <w:rPr>
          <w:rFonts w:ascii="Times New Roman" w:hAnsi="Times New Roman" w:cs="Times New Roman"/>
          <w:color w:val="000000"/>
        </w:rPr>
        <w:t>SoE</w:t>
      </w:r>
      <w:proofErr w:type="spellEnd"/>
      <w:r w:rsidR="0049119C" w:rsidRPr="00DF2B53">
        <w:rPr>
          <w:rFonts w:ascii="Times New Roman" w:hAnsi="Times New Roman" w:cs="Times New Roman"/>
          <w:color w:val="000000"/>
        </w:rPr>
        <w:t xml:space="preserve">. </w:t>
      </w:r>
      <w:r w:rsidR="003075A4" w:rsidRPr="00DF2B53">
        <w:rPr>
          <w:rFonts w:ascii="Times New Roman" w:hAnsi="Times New Roman" w:cs="Times New Roman"/>
          <w:color w:val="000000"/>
        </w:rPr>
        <w:t xml:space="preserve">In fact, </w:t>
      </w:r>
      <w:r w:rsidR="00D83CFA" w:rsidRPr="00DF2B53">
        <w:rPr>
          <w:rFonts w:ascii="Times New Roman" w:hAnsi="Times New Roman" w:cs="Times New Roman"/>
          <w:color w:val="000000"/>
        </w:rPr>
        <w:t xml:space="preserve">the </w:t>
      </w:r>
      <w:proofErr w:type="spellStart"/>
      <w:r w:rsidR="00D83CFA" w:rsidRPr="00DF2B53">
        <w:rPr>
          <w:rFonts w:ascii="Times New Roman" w:hAnsi="Times New Roman" w:cs="Times New Roman"/>
          <w:color w:val="000000"/>
        </w:rPr>
        <w:t>SoE</w:t>
      </w:r>
      <w:proofErr w:type="spellEnd"/>
      <w:r w:rsidR="0049119C" w:rsidRPr="00DF2B53">
        <w:rPr>
          <w:rFonts w:ascii="Times New Roman" w:hAnsi="Times New Roman" w:cs="Times New Roman"/>
          <w:color w:val="000000"/>
        </w:rPr>
        <w:t xml:space="preserve"> does not </w:t>
      </w:r>
      <w:r w:rsidR="0049119C" w:rsidRPr="00DF2B53">
        <w:rPr>
          <w:rFonts w:ascii="Times New Roman" w:hAnsi="Times New Roman" w:cs="Times New Roman"/>
          <w:i/>
          <w:iCs/>
          <w:color w:val="000000"/>
        </w:rPr>
        <w:t xml:space="preserve">oblige </w:t>
      </w:r>
      <w:r w:rsidR="0049119C" w:rsidRPr="00DF2B53">
        <w:rPr>
          <w:rFonts w:ascii="Times New Roman" w:hAnsi="Times New Roman" w:cs="Times New Roman"/>
          <w:color w:val="000000"/>
        </w:rPr>
        <w:t xml:space="preserve">the executive to </w:t>
      </w:r>
      <w:proofErr w:type="gramStart"/>
      <w:r w:rsidR="0049119C" w:rsidRPr="00DF2B53">
        <w:rPr>
          <w:rFonts w:ascii="Times New Roman" w:hAnsi="Times New Roman" w:cs="Times New Roman"/>
          <w:color w:val="000000"/>
        </w:rPr>
        <w:t>take action</w:t>
      </w:r>
      <w:proofErr w:type="gramEnd"/>
      <w:r w:rsidR="0049119C" w:rsidRPr="00DF2B53">
        <w:rPr>
          <w:rFonts w:ascii="Times New Roman" w:hAnsi="Times New Roman" w:cs="Times New Roman"/>
          <w:color w:val="000000"/>
        </w:rPr>
        <w:t xml:space="preserve">, it merely enables to exercise powers if the executive </w:t>
      </w:r>
      <w:r w:rsidR="0049119C" w:rsidRPr="00DF2B53">
        <w:rPr>
          <w:rFonts w:ascii="Times New Roman" w:hAnsi="Times New Roman" w:cs="Times New Roman"/>
          <w:i/>
          <w:iCs/>
          <w:color w:val="000000"/>
        </w:rPr>
        <w:t>so chooses</w:t>
      </w:r>
      <w:r w:rsidR="00B6528B" w:rsidRPr="00DF2B53">
        <w:rPr>
          <w:rFonts w:ascii="Times New Roman" w:hAnsi="Times New Roman" w:cs="Times New Roman"/>
          <w:i/>
          <w:iCs/>
          <w:color w:val="000000"/>
        </w:rPr>
        <w:t xml:space="preserve">, </w:t>
      </w:r>
      <w:r w:rsidR="00B6528B" w:rsidRPr="00DF2B53">
        <w:rPr>
          <w:rFonts w:ascii="Times New Roman" w:hAnsi="Times New Roman" w:cs="Times New Roman"/>
          <w:color w:val="000000"/>
        </w:rPr>
        <w:t xml:space="preserve">and it may </w:t>
      </w:r>
      <w:r w:rsidR="00B6528B" w:rsidRPr="00DF2B53">
        <w:rPr>
          <w:rFonts w:ascii="Times New Roman" w:hAnsi="Times New Roman" w:cs="Times New Roman"/>
          <w:color w:val="000000"/>
        </w:rPr>
        <w:lastRenderedPageBreak/>
        <w:t xml:space="preserve">empower the perception that it can </w:t>
      </w:r>
      <w:r w:rsidR="00AE5EC6" w:rsidRPr="00DF2B53">
        <w:rPr>
          <w:rFonts w:ascii="Times New Roman" w:hAnsi="Times New Roman" w:cs="Times New Roman"/>
          <w:color w:val="000000"/>
        </w:rPr>
        <w:t xml:space="preserve">restrict rights more than even the special regime allows (as demonstrated by the invalidation of the mandatory quarantines by the </w:t>
      </w:r>
      <w:r w:rsidR="009A58FE" w:rsidRPr="00DF2B53">
        <w:rPr>
          <w:rFonts w:ascii="Times New Roman" w:hAnsi="Times New Roman" w:cs="Times New Roman"/>
          <w:color w:val="000000"/>
        </w:rPr>
        <w:t>SCC</w:t>
      </w:r>
      <w:r w:rsidR="00AE5EC6" w:rsidRPr="00DF2B53">
        <w:rPr>
          <w:rFonts w:ascii="Times New Roman" w:hAnsi="Times New Roman" w:cs="Times New Roman"/>
          <w:color w:val="000000"/>
        </w:rPr>
        <w:t>)</w:t>
      </w:r>
      <w:r w:rsidR="0049119C" w:rsidRPr="00DF2B53">
        <w:rPr>
          <w:rFonts w:ascii="Times New Roman" w:hAnsi="Times New Roman" w:cs="Times New Roman"/>
          <w:i/>
          <w:iCs/>
          <w:color w:val="000000"/>
        </w:rPr>
        <w:t xml:space="preserve">. </w:t>
      </w:r>
    </w:p>
    <w:p w14:paraId="60A04F72" w14:textId="77777777" w:rsidR="00916CAB" w:rsidRPr="00DF2B53" w:rsidRDefault="00916CAB" w:rsidP="00814CE1">
      <w:pPr>
        <w:jc w:val="both"/>
        <w:rPr>
          <w:rFonts w:ascii="Times New Roman" w:hAnsi="Times New Roman" w:cs="Times New Roman"/>
          <w:i/>
          <w:iCs/>
          <w:color w:val="000000"/>
        </w:rPr>
      </w:pPr>
    </w:p>
    <w:p w14:paraId="1F7E1D33" w14:textId="03975E97" w:rsidR="00E40DC9" w:rsidRPr="00DF2B53" w:rsidRDefault="003C51D2" w:rsidP="00814CE1">
      <w:pPr>
        <w:jc w:val="both"/>
        <w:rPr>
          <w:rFonts w:ascii="Times New Roman" w:hAnsi="Times New Roman" w:cs="Times New Roman"/>
          <w:color w:val="000000"/>
        </w:rPr>
      </w:pPr>
      <w:r>
        <w:rPr>
          <w:rFonts w:ascii="Times New Roman" w:hAnsi="Times New Roman" w:cs="Times New Roman"/>
          <w:color w:val="000000"/>
        </w:rPr>
        <w:t>I</w:t>
      </w:r>
      <w:r w:rsidR="00E40DC9" w:rsidRPr="00DF2B53">
        <w:rPr>
          <w:rFonts w:ascii="Times New Roman" w:hAnsi="Times New Roman" w:cs="Times New Roman"/>
          <w:color w:val="000000"/>
        </w:rPr>
        <w:t>n June 2020,</w:t>
      </w:r>
      <w:r w:rsidR="00A40EFC" w:rsidRPr="00DF2B53">
        <w:rPr>
          <w:rFonts w:ascii="Times New Roman" w:hAnsi="Times New Roman" w:cs="Times New Roman"/>
          <w:color w:val="000000"/>
        </w:rPr>
        <w:t xml:space="preserve"> </w:t>
      </w:r>
      <w:r w:rsidR="003E37CB" w:rsidRPr="00DF2B53">
        <w:rPr>
          <w:rFonts w:ascii="Times New Roman" w:hAnsi="Times New Roman" w:cs="Times New Roman"/>
          <w:color w:val="000000"/>
        </w:rPr>
        <w:t xml:space="preserve">the executive made a U-turn, by not prolonging the </w:t>
      </w:r>
      <w:proofErr w:type="spellStart"/>
      <w:r w:rsidR="00E40DC9" w:rsidRPr="00DF2B53">
        <w:rPr>
          <w:rFonts w:ascii="Times New Roman" w:hAnsi="Times New Roman" w:cs="Times New Roman"/>
          <w:color w:val="000000"/>
        </w:rPr>
        <w:t>SoE</w:t>
      </w:r>
      <w:proofErr w:type="spellEnd"/>
      <w:r w:rsidR="00E40DC9" w:rsidRPr="00DF2B53">
        <w:rPr>
          <w:rFonts w:ascii="Times New Roman" w:hAnsi="Times New Roman" w:cs="Times New Roman"/>
          <w:color w:val="000000"/>
        </w:rPr>
        <w:t xml:space="preserve"> and lifting virtually all restrictions</w:t>
      </w:r>
      <w:r>
        <w:rPr>
          <w:rFonts w:ascii="Times New Roman" w:hAnsi="Times New Roman" w:cs="Times New Roman"/>
          <w:color w:val="000000"/>
        </w:rPr>
        <w:t>,</w:t>
      </w:r>
      <w:r w:rsidR="00101D3A" w:rsidRPr="00DC52BD">
        <w:rPr>
          <w:rStyle w:val="FootnoteReference"/>
        </w:rPr>
        <w:footnoteReference w:id="55"/>
      </w:r>
      <w:r>
        <w:rPr>
          <w:rFonts w:ascii="Times New Roman" w:hAnsi="Times New Roman" w:cs="Times New Roman"/>
          <w:color w:val="000000"/>
        </w:rPr>
        <w:t xml:space="preserve"> with no </w:t>
      </w:r>
      <w:r w:rsidR="00A14C46" w:rsidRPr="00DF2B53">
        <w:rPr>
          <w:rFonts w:ascii="Times New Roman" w:hAnsi="Times New Roman" w:cs="Times New Roman"/>
          <w:color w:val="000000"/>
        </w:rPr>
        <w:t>credible explanation for the shift</w:t>
      </w:r>
      <w:r>
        <w:rPr>
          <w:rFonts w:ascii="Times New Roman" w:hAnsi="Times New Roman" w:cs="Times New Roman"/>
          <w:color w:val="000000"/>
        </w:rPr>
        <w:t xml:space="preserve">. A potential reason may have been the backlash </w:t>
      </w:r>
      <w:r w:rsidR="00551802" w:rsidRPr="00DF2B53">
        <w:rPr>
          <w:rFonts w:ascii="Times New Roman" w:hAnsi="Times New Roman" w:cs="Times New Roman"/>
          <w:color w:val="000000"/>
        </w:rPr>
        <w:t xml:space="preserve">for </w:t>
      </w:r>
      <w:r w:rsidR="005338F8" w:rsidRPr="00DF2B53">
        <w:rPr>
          <w:rFonts w:ascii="Times New Roman" w:hAnsi="Times New Roman" w:cs="Times New Roman"/>
          <w:color w:val="000000"/>
        </w:rPr>
        <w:t>executive overreach resulting in human rights violations</w:t>
      </w:r>
      <w:r>
        <w:rPr>
          <w:rFonts w:ascii="Times New Roman" w:hAnsi="Times New Roman" w:cs="Times New Roman"/>
          <w:color w:val="000000"/>
        </w:rPr>
        <w:t xml:space="preserve"> due to the prior restrictions</w:t>
      </w:r>
      <w:r w:rsidR="005338F8" w:rsidRPr="00DF2B53">
        <w:rPr>
          <w:rFonts w:ascii="Times New Roman" w:hAnsi="Times New Roman" w:cs="Times New Roman"/>
          <w:color w:val="000000"/>
        </w:rPr>
        <w:t>.</w:t>
      </w:r>
      <w:r w:rsidR="005338F8" w:rsidRPr="00DC52BD">
        <w:rPr>
          <w:rStyle w:val="FootnoteReference"/>
        </w:rPr>
        <w:footnoteReference w:id="56"/>
      </w:r>
      <w:r w:rsidR="00DF20B4" w:rsidRPr="00DF2B53">
        <w:rPr>
          <w:rFonts w:ascii="Times New Roman" w:hAnsi="Times New Roman" w:cs="Times New Roman"/>
          <w:color w:val="000000"/>
        </w:rPr>
        <w:t xml:space="preserve"> </w:t>
      </w:r>
      <w:r>
        <w:rPr>
          <w:rFonts w:ascii="Times New Roman" w:hAnsi="Times New Roman" w:cs="Times New Roman"/>
          <w:color w:val="000000"/>
        </w:rPr>
        <w:t>Yet, t</w:t>
      </w:r>
      <w:r w:rsidR="00DF20B4" w:rsidRPr="00DF2B53">
        <w:rPr>
          <w:rFonts w:ascii="Times New Roman" w:hAnsi="Times New Roman" w:cs="Times New Roman"/>
          <w:color w:val="000000"/>
        </w:rPr>
        <w:t>he U-turn</w:t>
      </w:r>
      <w:r w:rsidR="00871AB1" w:rsidRPr="00DF2B53">
        <w:rPr>
          <w:rFonts w:ascii="Times New Roman" w:hAnsi="Times New Roman" w:cs="Times New Roman"/>
          <w:color w:val="000000"/>
        </w:rPr>
        <w:t xml:space="preserve"> resulted in even </w:t>
      </w:r>
      <w:r w:rsidR="00B10350" w:rsidRPr="00DF2B53">
        <w:rPr>
          <w:rFonts w:ascii="Times New Roman" w:hAnsi="Times New Roman" w:cs="Times New Roman"/>
          <w:color w:val="000000"/>
        </w:rPr>
        <w:t xml:space="preserve">measures </w:t>
      </w:r>
      <w:r>
        <w:rPr>
          <w:rFonts w:ascii="Times New Roman" w:hAnsi="Times New Roman" w:cs="Times New Roman"/>
          <w:color w:val="000000"/>
        </w:rPr>
        <w:t>representing</w:t>
      </w:r>
      <w:r w:rsidR="00B10350" w:rsidRPr="00DF2B53">
        <w:rPr>
          <w:rFonts w:ascii="Times New Roman" w:hAnsi="Times New Roman" w:cs="Times New Roman"/>
          <w:color w:val="000000"/>
        </w:rPr>
        <w:t xml:space="preserve"> limited intrusion into peoples’ lives</w:t>
      </w:r>
      <w:r w:rsidR="006457BC" w:rsidRPr="00DF2B53">
        <w:rPr>
          <w:rFonts w:ascii="Times New Roman" w:hAnsi="Times New Roman" w:cs="Times New Roman"/>
          <w:color w:val="000000"/>
        </w:rPr>
        <w:t xml:space="preserve"> (such as social distancing) </w:t>
      </w:r>
      <w:r w:rsidR="00871AB1" w:rsidRPr="00DF2B53">
        <w:rPr>
          <w:rFonts w:ascii="Times New Roman" w:hAnsi="Times New Roman" w:cs="Times New Roman"/>
          <w:color w:val="000000"/>
        </w:rPr>
        <w:t xml:space="preserve">to not </w:t>
      </w:r>
      <w:r>
        <w:rPr>
          <w:rFonts w:ascii="Times New Roman" w:hAnsi="Times New Roman" w:cs="Times New Roman"/>
          <w:color w:val="000000"/>
        </w:rPr>
        <w:t>have been</w:t>
      </w:r>
      <w:r w:rsidR="00871AB1" w:rsidRPr="00DF2B53">
        <w:rPr>
          <w:rFonts w:ascii="Times New Roman" w:hAnsi="Times New Roman" w:cs="Times New Roman"/>
          <w:color w:val="000000"/>
        </w:rPr>
        <w:t xml:space="preserve"> required</w:t>
      </w:r>
      <w:r w:rsidR="008F0996" w:rsidRPr="00DF2B53">
        <w:rPr>
          <w:rFonts w:ascii="Times New Roman" w:hAnsi="Times New Roman" w:cs="Times New Roman"/>
          <w:color w:val="000000"/>
        </w:rPr>
        <w:t xml:space="preserve">. The communication of key political leaders, notably PM Igor </w:t>
      </w:r>
      <w:proofErr w:type="spellStart"/>
      <w:r w:rsidR="008F0996" w:rsidRPr="00DF2B53">
        <w:rPr>
          <w:rFonts w:ascii="Times New Roman" w:hAnsi="Times New Roman" w:cs="Times New Roman"/>
          <w:color w:val="000000"/>
        </w:rPr>
        <w:t>Matovič</w:t>
      </w:r>
      <w:proofErr w:type="spellEnd"/>
      <w:r w:rsidR="00C05CEA" w:rsidRPr="00DF2B53">
        <w:rPr>
          <w:rFonts w:ascii="Times New Roman" w:hAnsi="Times New Roman" w:cs="Times New Roman"/>
          <w:color w:val="000000"/>
        </w:rPr>
        <w:t xml:space="preserve">, even after the reintroduction of </w:t>
      </w:r>
      <w:r w:rsidR="008C06CF" w:rsidRPr="00DF2B53">
        <w:rPr>
          <w:rFonts w:ascii="Times New Roman" w:hAnsi="Times New Roman" w:cs="Times New Roman"/>
          <w:color w:val="000000"/>
        </w:rPr>
        <w:t xml:space="preserve">a </w:t>
      </w:r>
      <w:proofErr w:type="spellStart"/>
      <w:r w:rsidR="008C06CF" w:rsidRPr="00DF2B53">
        <w:rPr>
          <w:rFonts w:ascii="Times New Roman" w:hAnsi="Times New Roman" w:cs="Times New Roman"/>
          <w:color w:val="000000"/>
        </w:rPr>
        <w:t>SoE</w:t>
      </w:r>
      <w:proofErr w:type="spellEnd"/>
      <w:r w:rsidR="008C06CF" w:rsidRPr="00DF2B53">
        <w:rPr>
          <w:rFonts w:ascii="Times New Roman" w:hAnsi="Times New Roman" w:cs="Times New Roman"/>
          <w:color w:val="000000"/>
        </w:rPr>
        <w:t xml:space="preserve"> on 1 October</w:t>
      </w:r>
      <w:r w:rsidR="00C05CEA" w:rsidRPr="00DF2B53">
        <w:rPr>
          <w:rFonts w:ascii="Times New Roman" w:hAnsi="Times New Roman" w:cs="Times New Roman"/>
          <w:color w:val="000000"/>
        </w:rPr>
        <w:t xml:space="preserve"> </w:t>
      </w:r>
      <w:r w:rsidR="005B5DFB">
        <w:rPr>
          <w:rFonts w:ascii="Times New Roman" w:hAnsi="Times New Roman" w:cs="Times New Roman"/>
          <w:color w:val="000000"/>
        </w:rPr>
        <w:t>due</w:t>
      </w:r>
      <w:r w:rsidR="00C05CEA" w:rsidRPr="00DF2B53">
        <w:rPr>
          <w:rFonts w:ascii="Times New Roman" w:hAnsi="Times New Roman" w:cs="Times New Roman"/>
          <w:color w:val="000000"/>
        </w:rPr>
        <w:t xml:space="preserve"> to the exponential rise of cases </w:t>
      </w:r>
      <w:r w:rsidR="00821CB5" w:rsidRPr="00DF2B53">
        <w:rPr>
          <w:rFonts w:ascii="Times New Roman" w:hAnsi="Times New Roman" w:cs="Times New Roman"/>
          <w:color w:val="000000"/>
        </w:rPr>
        <w:t>did not display consistency and credibility</w:t>
      </w:r>
      <w:r w:rsidR="005B5DFB">
        <w:rPr>
          <w:rFonts w:ascii="Times New Roman" w:hAnsi="Times New Roman" w:cs="Times New Roman"/>
          <w:color w:val="000000"/>
        </w:rPr>
        <w:t>.</w:t>
      </w:r>
      <w:r w:rsidR="00D72FB1" w:rsidRPr="00DC52BD">
        <w:rPr>
          <w:rStyle w:val="FootnoteReference"/>
        </w:rPr>
        <w:footnoteReference w:id="57"/>
      </w:r>
      <w:r w:rsidR="005B5DFB">
        <w:rPr>
          <w:rFonts w:ascii="Times New Roman" w:hAnsi="Times New Roman" w:cs="Times New Roman"/>
          <w:color w:val="000000"/>
        </w:rPr>
        <w:t xml:space="preserve"> </w:t>
      </w:r>
      <w:proofErr w:type="spellStart"/>
      <w:r w:rsidR="005B5DFB">
        <w:rPr>
          <w:rFonts w:ascii="Times New Roman" w:hAnsi="Times New Roman" w:cs="Times New Roman"/>
          <w:color w:val="000000"/>
        </w:rPr>
        <w:t>Matovič</w:t>
      </w:r>
      <w:proofErr w:type="spellEnd"/>
      <w:r w:rsidR="00821CB5" w:rsidRPr="00DF2B53">
        <w:rPr>
          <w:rFonts w:ascii="Times New Roman" w:hAnsi="Times New Roman" w:cs="Times New Roman"/>
          <w:color w:val="000000"/>
        </w:rPr>
        <w:t xml:space="preserve"> even blamed ‘the people’ for the rise of cases instead of accepting that </w:t>
      </w:r>
      <w:r w:rsidR="005B5DFB">
        <w:rPr>
          <w:rFonts w:ascii="Times New Roman" w:hAnsi="Times New Roman" w:cs="Times New Roman"/>
          <w:color w:val="000000"/>
        </w:rPr>
        <w:t>he</w:t>
      </w:r>
      <w:r w:rsidR="00821CB5" w:rsidRPr="00DF2B53">
        <w:rPr>
          <w:rFonts w:ascii="Times New Roman" w:hAnsi="Times New Roman" w:cs="Times New Roman"/>
          <w:color w:val="000000"/>
        </w:rPr>
        <w:t xml:space="preserve"> had erred.</w:t>
      </w:r>
      <w:r w:rsidR="0031145D" w:rsidRPr="00DC52BD">
        <w:rPr>
          <w:rStyle w:val="FootnoteReference"/>
        </w:rPr>
        <w:footnoteReference w:id="58"/>
      </w:r>
      <w:r w:rsidR="005E0C20" w:rsidRPr="00DF2B53">
        <w:rPr>
          <w:rFonts w:ascii="Times New Roman" w:hAnsi="Times New Roman" w:cs="Times New Roman"/>
          <w:color w:val="000000"/>
        </w:rPr>
        <w:t xml:space="preserve"> At most, the</w:t>
      </w:r>
      <w:r w:rsidR="00CD0456">
        <w:rPr>
          <w:rFonts w:ascii="Times New Roman" w:hAnsi="Times New Roman" w:cs="Times New Roman"/>
          <w:color w:val="000000"/>
        </w:rPr>
        <w:t xml:space="preserve"> </w:t>
      </w:r>
      <w:proofErr w:type="spellStart"/>
      <w:r w:rsidR="005E0C20" w:rsidRPr="00DF2B53">
        <w:rPr>
          <w:rFonts w:ascii="Times New Roman" w:hAnsi="Times New Roman" w:cs="Times New Roman"/>
          <w:color w:val="000000"/>
        </w:rPr>
        <w:t>SoE</w:t>
      </w:r>
      <w:proofErr w:type="spellEnd"/>
      <w:r w:rsidR="005E0C20" w:rsidRPr="00DF2B53">
        <w:rPr>
          <w:rFonts w:ascii="Times New Roman" w:hAnsi="Times New Roman" w:cs="Times New Roman"/>
          <w:color w:val="000000"/>
        </w:rPr>
        <w:t xml:space="preserve"> served as an argument to show that the executive ‘does something’ and takes the situation seriously. </w:t>
      </w:r>
    </w:p>
    <w:p w14:paraId="1AF3125C" w14:textId="77777777" w:rsidR="008C06CF" w:rsidRPr="00DF2B53" w:rsidRDefault="008C06CF" w:rsidP="00814CE1">
      <w:pPr>
        <w:jc w:val="both"/>
        <w:rPr>
          <w:rFonts w:ascii="Times New Roman" w:hAnsi="Times New Roman" w:cs="Times New Roman"/>
          <w:color w:val="000000"/>
        </w:rPr>
      </w:pPr>
    </w:p>
    <w:p w14:paraId="103122D2" w14:textId="11D6CC38" w:rsidR="00916CAB" w:rsidRPr="00DF2B53" w:rsidRDefault="008C06CF" w:rsidP="00814CE1">
      <w:pPr>
        <w:jc w:val="both"/>
        <w:rPr>
          <w:rFonts w:ascii="Times New Roman" w:hAnsi="Times New Roman" w:cs="Times New Roman"/>
          <w:color w:val="000000"/>
        </w:rPr>
      </w:pPr>
      <w:r w:rsidRPr="00DF2B53">
        <w:rPr>
          <w:rFonts w:ascii="Times New Roman" w:hAnsi="Times New Roman" w:cs="Times New Roman"/>
          <w:color w:val="000000"/>
        </w:rPr>
        <w:t xml:space="preserve">Still, the </w:t>
      </w:r>
      <w:proofErr w:type="spellStart"/>
      <w:r w:rsidRPr="00DF2B53">
        <w:rPr>
          <w:rFonts w:ascii="Times New Roman" w:hAnsi="Times New Roman" w:cs="Times New Roman"/>
          <w:color w:val="000000"/>
        </w:rPr>
        <w:t>SoE</w:t>
      </w:r>
      <w:proofErr w:type="spellEnd"/>
      <w:r w:rsidRPr="00DF2B53">
        <w:rPr>
          <w:rFonts w:ascii="Times New Roman" w:hAnsi="Times New Roman" w:cs="Times New Roman"/>
          <w:color w:val="000000"/>
        </w:rPr>
        <w:t xml:space="preserve"> remained a fallback option for political leaders </w:t>
      </w:r>
      <w:r w:rsidR="0044124A" w:rsidRPr="00DF2B53">
        <w:rPr>
          <w:rFonts w:ascii="Times New Roman" w:hAnsi="Times New Roman" w:cs="Times New Roman"/>
          <w:color w:val="000000"/>
        </w:rPr>
        <w:t xml:space="preserve">for the months ahead </w:t>
      </w:r>
      <w:r w:rsidR="000B4F2C" w:rsidRPr="00DF2B53">
        <w:rPr>
          <w:rFonts w:ascii="Times New Roman" w:hAnsi="Times New Roman" w:cs="Times New Roman"/>
          <w:color w:val="000000"/>
        </w:rPr>
        <w:t xml:space="preserve">for as long as May 2021. </w:t>
      </w:r>
      <w:r w:rsidR="00285286" w:rsidRPr="00DF2B53">
        <w:rPr>
          <w:rFonts w:ascii="Times New Roman" w:hAnsi="Times New Roman" w:cs="Times New Roman"/>
          <w:color w:val="000000"/>
        </w:rPr>
        <w:t xml:space="preserve">Because of </w:t>
      </w:r>
      <w:r w:rsidR="00D83CFA" w:rsidRPr="00DF2B53">
        <w:rPr>
          <w:rFonts w:ascii="Times New Roman" w:hAnsi="Times New Roman" w:cs="Times New Roman"/>
          <w:color w:val="000000"/>
        </w:rPr>
        <w:t>an ensuing</w:t>
      </w:r>
      <w:r w:rsidR="00285286" w:rsidRPr="00DF2B53">
        <w:rPr>
          <w:rFonts w:ascii="Times New Roman" w:hAnsi="Times New Roman" w:cs="Times New Roman"/>
          <w:color w:val="000000"/>
        </w:rPr>
        <w:t xml:space="preserve"> legal dispute on whether </w:t>
      </w:r>
      <w:r w:rsidR="006C0BBA" w:rsidRPr="00DF2B53">
        <w:rPr>
          <w:rFonts w:ascii="Times New Roman" w:hAnsi="Times New Roman" w:cs="Times New Roman"/>
          <w:color w:val="000000"/>
        </w:rPr>
        <w:t xml:space="preserve">the regulation allows the repeated declaration and subsequent prolongation of </w:t>
      </w:r>
      <w:proofErr w:type="spellStart"/>
      <w:r w:rsidR="006C0BBA" w:rsidRPr="00DF2B53">
        <w:rPr>
          <w:rFonts w:ascii="Times New Roman" w:hAnsi="Times New Roman" w:cs="Times New Roman"/>
          <w:color w:val="000000"/>
        </w:rPr>
        <w:t>SoE</w:t>
      </w:r>
      <w:proofErr w:type="spellEnd"/>
      <w:r w:rsidR="006C0BBA" w:rsidRPr="00DF2B53">
        <w:rPr>
          <w:rFonts w:ascii="Times New Roman" w:hAnsi="Times New Roman" w:cs="Times New Roman"/>
          <w:color w:val="000000"/>
        </w:rPr>
        <w:t xml:space="preserve"> beyond the single 40-day interval, </w:t>
      </w:r>
      <w:r w:rsidR="008B79D2" w:rsidRPr="00DF2B53">
        <w:rPr>
          <w:rFonts w:ascii="Times New Roman" w:hAnsi="Times New Roman" w:cs="Times New Roman"/>
          <w:color w:val="000000"/>
        </w:rPr>
        <w:t>the executive initiated a legislative change of the constitutional act</w:t>
      </w:r>
      <w:r w:rsidR="008B79D2" w:rsidRPr="00DC52BD">
        <w:rPr>
          <w:rStyle w:val="FootnoteReference"/>
        </w:rPr>
        <w:footnoteReference w:id="59"/>
      </w:r>
      <w:r w:rsidR="008B79D2" w:rsidRPr="00DF2B53">
        <w:rPr>
          <w:rFonts w:ascii="Times New Roman" w:hAnsi="Times New Roman" w:cs="Times New Roman"/>
          <w:color w:val="000000"/>
        </w:rPr>
        <w:t xml:space="preserve"> to introduce a new</w:t>
      </w:r>
      <w:r w:rsidR="00E85568">
        <w:rPr>
          <w:rFonts w:ascii="Times New Roman" w:hAnsi="Times New Roman" w:cs="Times New Roman"/>
          <w:color w:val="000000"/>
        </w:rPr>
        <w:t xml:space="preserve"> </w:t>
      </w:r>
      <w:proofErr w:type="spellStart"/>
      <w:r w:rsidR="00E85568">
        <w:rPr>
          <w:rFonts w:ascii="Times New Roman" w:hAnsi="Times New Roman" w:cs="Times New Roman"/>
          <w:color w:val="000000"/>
        </w:rPr>
        <w:t>SoE</w:t>
      </w:r>
      <w:proofErr w:type="spellEnd"/>
      <w:r w:rsidR="008B79D2" w:rsidRPr="00DF2B53">
        <w:rPr>
          <w:rFonts w:ascii="Times New Roman" w:hAnsi="Times New Roman" w:cs="Times New Roman"/>
          <w:color w:val="000000"/>
        </w:rPr>
        <w:t xml:space="preserve"> subtype </w:t>
      </w:r>
      <w:r w:rsidR="00E85568">
        <w:rPr>
          <w:rFonts w:ascii="Times New Roman" w:hAnsi="Times New Roman" w:cs="Times New Roman"/>
          <w:color w:val="000000"/>
        </w:rPr>
        <w:t xml:space="preserve">named </w:t>
      </w:r>
      <w:r w:rsidR="008B79D2" w:rsidRPr="00DF2B53">
        <w:rPr>
          <w:rFonts w:ascii="Times New Roman" w:hAnsi="Times New Roman" w:cs="Times New Roman"/>
          <w:color w:val="000000"/>
        </w:rPr>
        <w:t xml:space="preserve">‘pandemic state of emergency’. This </w:t>
      </w:r>
      <w:proofErr w:type="spellStart"/>
      <w:r w:rsidR="00E85568">
        <w:rPr>
          <w:rFonts w:ascii="Times New Roman" w:hAnsi="Times New Roman" w:cs="Times New Roman"/>
          <w:color w:val="000000"/>
        </w:rPr>
        <w:t>SoE</w:t>
      </w:r>
      <w:proofErr w:type="spellEnd"/>
      <w:r w:rsidR="008B79D2" w:rsidRPr="00DF2B53">
        <w:rPr>
          <w:rFonts w:ascii="Times New Roman" w:hAnsi="Times New Roman" w:cs="Times New Roman"/>
          <w:color w:val="000000"/>
        </w:rPr>
        <w:t xml:space="preserve"> explicitly allows indefinite extensions, provided</w:t>
      </w:r>
      <w:r w:rsidR="007631B4" w:rsidRPr="00DF2B53">
        <w:rPr>
          <w:rFonts w:ascii="Times New Roman" w:hAnsi="Times New Roman" w:cs="Times New Roman"/>
          <w:color w:val="000000"/>
        </w:rPr>
        <w:t xml:space="preserve"> </w:t>
      </w:r>
      <w:r w:rsidR="008B79D2" w:rsidRPr="00DF2B53">
        <w:rPr>
          <w:rFonts w:ascii="Times New Roman" w:hAnsi="Times New Roman" w:cs="Times New Roman"/>
          <w:color w:val="000000"/>
        </w:rPr>
        <w:t xml:space="preserve">that legislative consent </w:t>
      </w:r>
      <w:r w:rsidR="00681F81" w:rsidRPr="00DF2B53">
        <w:rPr>
          <w:rFonts w:ascii="Times New Roman" w:hAnsi="Times New Roman" w:cs="Times New Roman"/>
          <w:color w:val="000000"/>
        </w:rPr>
        <w:t xml:space="preserve">to the prolongation </w:t>
      </w:r>
      <w:r w:rsidR="008B79D2" w:rsidRPr="00DF2B53">
        <w:rPr>
          <w:rFonts w:ascii="Times New Roman" w:hAnsi="Times New Roman" w:cs="Times New Roman"/>
          <w:color w:val="000000"/>
        </w:rPr>
        <w:t>is given</w:t>
      </w:r>
      <w:r w:rsidR="008D3CA1" w:rsidRPr="00DF2B53">
        <w:rPr>
          <w:rFonts w:ascii="Times New Roman" w:hAnsi="Times New Roman" w:cs="Times New Roman"/>
          <w:color w:val="000000"/>
        </w:rPr>
        <w:t xml:space="preserve"> within 20 days of the </w:t>
      </w:r>
      <w:r w:rsidR="00681F81" w:rsidRPr="00DF2B53">
        <w:rPr>
          <w:rFonts w:ascii="Times New Roman" w:hAnsi="Times New Roman" w:cs="Times New Roman"/>
          <w:color w:val="000000"/>
        </w:rPr>
        <w:t xml:space="preserve">executive decision. </w:t>
      </w:r>
      <w:r w:rsidR="007A697B" w:rsidRPr="00DF2B53">
        <w:rPr>
          <w:rFonts w:ascii="Times New Roman" w:hAnsi="Times New Roman" w:cs="Times New Roman"/>
          <w:color w:val="000000"/>
        </w:rPr>
        <w:t>As such,</w:t>
      </w:r>
      <w:r w:rsidR="007631B4" w:rsidRPr="00DF2B53">
        <w:rPr>
          <w:rFonts w:ascii="Times New Roman" w:hAnsi="Times New Roman" w:cs="Times New Roman"/>
          <w:color w:val="000000"/>
        </w:rPr>
        <w:t xml:space="preserve"> and similarly to </w:t>
      </w:r>
      <w:r w:rsidR="006830AA">
        <w:rPr>
          <w:rFonts w:ascii="Times New Roman" w:hAnsi="Times New Roman" w:cs="Times New Roman"/>
          <w:color w:val="000000"/>
        </w:rPr>
        <w:t xml:space="preserve">several other </w:t>
      </w:r>
      <w:r w:rsidR="007631B4" w:rsidRPr="00DF2B53">
        <w:rPr>
          <w:rFonts w:ascii="Times New Roman" w:hAnsi="Times New Roman" w:cs="Times New Roman"/>
          <w:color w:val="000000"/>
        </w:rPr>
        <w:t>jurisdictions,</w:t>
      </w:r>
      <w:r w:rsidR="007631B4" w:rsidRPr="00DC52BD">
        <w:rPr>
          <w:rStyle w:val="FootnoteReference"/>
        </w:rPr>
        <w:footnoteReference w:id="60"/>
      </w:r>
      <w:r w:rsidR="007A697B" w:rsidRPr="00DF2B53">
        <w:rPr>
          <w:rFonts w:ascii="Times New Roman" w:hAnsi="Times New Roman" w:cs="Times New Roman"/>
          <w:color w:val="000000"/>
        </w:rPr>
        <w:t xml:space="preserve"> it could be seen as representing a possibility for overreach but, </w:t>
      </w:r>
      <w:r w:rsidR="005638C6">
        <w:rPr>
          <w:rFonts w:ascii="Times New Roman" w:hAnsi="Times New Roman" w:cs="Times New Roman"/>
          <w:color w:val="000000"/>
        </w:rPr>
        <w:t>counterintuitively,</w:t>
      </w:r>
      <w:r w:rsidR="00463796" w:rsidRPr="00DF2B53">
        <w:rPr>
          <w:rFonts w:ascii="Times New Roman" w:hAnsi="Times New Roman" w:cs="Times New Roman"/>
          <w:color w:val="000000"/>
        </w:rPr>
        <w:t xml:space="preserve"> equally </w:t>
      </w:r>
      <w:r w:rsidR="005638C6">
        <w:rPr>
          <w:rFonts w:ascii="Times New Roman" w:hAnsi="Times New Roman" w:cs="Times New Roman"/>
          <w:color w:val="000000"/>
        </w:rPr>
        <w:t xml:space="preserve">amount to </w:t>
      </w:r>
      <w:r w:rsidR="00463796" w:rsidRPr="00DF2B53">
        <w:rPr>
          <w:rFonts w:ascii="Times New Roman" w:hAnsi="Times New Roman" w:cs="Times New Roman"/>
          <w:color w:val="000000"/>
        </w:rPr>
        <w:t xml:space="preserve">underreach, as the </w:t>
      </w:r>
      <w:proofErr w:type="spellStart"/>
      <w:r w:rsidR="00463796" w:rsidRPr="00DF2B53">
        <w:rPr>
          <w:rFonts w:ascii="Times New Roman" w:hAnsi="Times New Roman" w:cs="Times New Roman"/>
          <w:color w:val="000000"/>
        </w:rPr>
        <w:t>SoE</w:t>
      </w:r>
      <w:proofErr w:type="spellEnd"/>
      <w:r w:rsidR="00463796" w:rsidRPr="00DF2B53">
        <w:rPr>
          <w:rFonts w:ascii="Times New Roman" w:hAnsi="Times New Roman" w:cs="Times New Roman"/>
          <w:color w:val="000000"/>
        </w:rPr>
        <w:t xml:space="preserve"> tells little about the executive’s actual intentions and practices in managing and communicating the emergency. </w:t>
      </w:r>
    </w:p>
    <w:p w14:paraId="2A3C69E1" w14:textId="77777777" w:rsidR="00D35735" w:rsidRPr="00DF2B53" w:rsidRDefault="00D35735" w:rsidP="00814CE1">
      <w:pPr>
        <w:jc w:val="both"/>
        <w:rPr>
          <w:rFonts w:ascii="Times New Roman" w:hAnsi="Times New Roman" w:cs="Times New Roman"/>
          <w:color w:val="000000"/>
        </w:rPr>
      </w:pPr>
    </w:p>
    <w:p w14:paraId="338F6964" w14:textId="4FE4FC29" w:rsidR="00192B3E" w:rsidRPr="00DF2B53" w:rsidRDefault="00DC7DA2" w:rsidP="00192B3E">
      <w:pPr>
        <w:pStyle w:val="Heading2"/>
        <w:rPr>
          <w:rFonts w:ascii="Times New Roman" w:hAnsi="Times New Roman" w:cs="Times New Roman"/>
          <w:color w:val="auto"/>
          <w:sz w:val="24"/>
          <w:szCs w:val="24"/>
          <w:u w:val="single"/>
        </w:rPr>
      </w:pPr>
      <w:r w:rsidRPr="00DF2B53">
        <w:rPr>
          <w:rFonts w:ascii="Times New Roman" w:hAnsi="Times New Roman" w:cs="Times New Roman"/>
          <w:color w:val="auto"/>
          <w:sz w:val="24"/>
          <w:szCs w:val="24"/>
          <w:u w:val="single"/>
        </w:rPr>
        <w:t>I</w:t>
      </w:r>
      <w:r w:rsidR="00B74D55" w:rsidRPr="00DF2B53">
        <w:rPr>
          <w:rFonts w:ascii="Times New Roman" w:hAnsi="Times New Roman" w:cs="Times New Roman"/>
          <w:color w:val="auto"/>
          <w:sz w:val="24"/>
          <w:szCs w:val="24"/>
          <w:u w:val="single"/>
        </w:rPr>
        <w:t>V</w:t>
      </w:r>
      <w:r w:rsidRPr="00DF2B53">
        <w:rPr>
          <w:rFonts w:ascii="Times New Roman" w:hAnsi="Times New Roman" w:cs="Times New Roman"/>
          <w:color w:val="auto"/>
          <w:sz w:val="24"/>
          <w:szCs w:val="24"/>
          <w:u w:val="single"/>
        </w:rPr>
        <w:t xml:space="preserve">. </w:t>
      </w:r>
      <w:r w:rsidR="00192B3E" w:rsidRPr="00DF2B53">
        <w:rPr>
          <w:rFonts w:ascii="Times New Roman" w:hAnsi="Times New Roman" w:cs="Times New Roman"/>
          <w:color w:val="auto"/>
          <w:sz w:val="24"/>
          <w:szCs w:val="24"/>
          <w:u w:val="single"/>
        </w:rPr>
        <w:t xml:space="preserve">The executive in panic </w:t>
      </w:r>
      <w:r w:rsidR="007843A5" w:rsidRPr="00DF2B53">
        <w:rPr>
          <w:rFonts w:ascii="Times New Roman" w:hAnsi="Times New Roman" w:cs="Times New Roman"/>
          <w:color w:val="auto"/>
          <w:sz w:val="24"/>
          <w:szCs w:val="24"/>
          <w:u w:val="single"/>
        </w:rPr>
        <w:t>and undermining states of emergency as a legal institution</w:t>
      </w:r>
    </w:p>
    <w:p w14:paraId="059BC5E7" w14:textId="38360B24" w:rsidR="00EF6330" w:rsidRPr="00DF2B53" w:rsidRDefault="00F43D38" w:rsidP="008E39DF">
      <w:pPr>
        <w:jc w:val="both"/>
        <w:rPr>
          <w:rFonts w:ascii="Times New Roman" w:hAnsi="Times New Roman" w:cs="Times New Roman"/>
        </w:rPr>
      </w:pPr>
      <w:r w:rsidRPr="00DF2B53">
        <w:rPr>
          <w:rFonts w:ascii="Times New Roman" w:hAnsi="Times New Roman" w:cs="Times New Roman"/>
        </w:rPr>
        <w:t xml:space="preserve">Was there executive overreach or executive underreach in Slovakia during the </w:t>
      </w:r>
      <w:proofErr w:type="spellStart"/>
      <w:r w:rsidR="005F1037">
        <w:rPr>
          <w:rFonts w:ascii="Times New Roman" w:hAnsi="Times New Roman" w:cs="Times New Roman"/>
        </w:rPr>
        <w:t>SoE</w:t>
      </w:r>
      <w:proofErr w:type="spellEnd"/>
      <w:r w:rsidR="005F1037">
        <w:rPr>
          <w:rFonts w:ascii="Times New Roman" w:hAnsi="Times New Roman" w:cs="Times New Roman"/>
        </w:rPr>
        <w:t xml:space="preserve"> declared due to the </w:t>
      </w:r>
      <w:r w:rsidRPr="00DF2B53">
        <w:rPr>
          <w:rFonts w:ascii="Times New Roman" w:hAnsi="Times New Roman" w:cs="Times New Roman"/>
        </w:rPr>
        <w:t xml:space="preserve">COVID-19 pandemic? </w:t>
      </w:r>
      <w:r w:rsidR="007961AD" w:rsidRPr="00DF2B53">
        <w:rPr>
          <w:rFonts w:ascii="Times New Roman" w:hAnsi="Times New Roman" w:cs="Times New Roman"/>
        </w:rPr>
        <w:t xml:space="preserve">This section demonstrates that both </w:t>
      </w:r>
      <w:r w:rsidR="009F56E8" w:rsidRPr="00DF2B53">
        <w:rPr>
          <w:rFonts w:ascii="Times New Roman" w:hAnsi="Times New Roman" w:cs="Times New Roman"/>
        </w:rPr>
        <w:t>governance failures</w:t>
      </w:r>
      <w:r w:rsidR="007961AD" w:rsidRPr="00DF2B53">
        <w:rPr>
          <w:rFonts w:ascii="Times New Roman" w:hAnsi="Times New Roman" w:cs="Times New Roman"/>
        </w:rPr>
        <w:t xml:space="preserve"> have occurred</w:t>
      </w:r>
      <w:r w:rsidR="009F56E8" w:rsidRPr="00DF2B53">
        <w:rPr>
          <w:rFonts w:ascii="Times New Roman" w:hAnsi="Times New Roman" w:cs="Times New Roman"/>
        </w:rPr>
        <w:t xml:space="preserve"> </w:t>
      </w:r>
      <w:r w:rsidR="007961AD" w:rsidRPr="00DF2B53">
        <w:rPr>
          <w:rFonts w:ascii="Times New Roman" w:hAnsi="Times New Roman" w:cs="Times New Roman"/>
        </w:rPr>
        <w:t xml:space="preserve">simultaneously, </w:t>
      </w:r>
      <w:r w:rsidR="001261FB" w:rsidRPr="00DF2B53">
        <w:rPr>
          <w:rFonts w:ascii="Times New Roman" w:hAnsi="Times New Roman" w:cs="Times New Roman"/>
        </w:rPr>
        <w:t xml:space="preserve">with the measures marked by the absence of coherent justifications for their </w:t>
      </w:r>
      <w:r w:rsidR="00EF6330" w:rsidRPr="00DF2B53">
        <w:rPr>
          <w:rFonts w:ascii="Times New Roman" w:hAnsi="Times New Roman" w:cs="Times New Roman"/>
        </w:rPr>
        <w:t>implementation.</w:t>
      </w:r>
      <w:r w:rsidR="00A53E6B" w:rsidRPr="00DF2B53">
        <w:rPr>
          <w:rFonts w:ascii="Times New Roman" w:hAnsi="Times New Roman" w:cs="Times New Roman"/>
        </w:rPr>
        <w:t xml:space="preserve"> </w:t>
      </w:r>
      <w:r w:rsidR="005F1037">
        <w:rPr>
          <w:rFonts w:ascii="Times New Roman" w:hAnsi="Times New Roman" w:cs="Times New Roman"/>
        </w:rPr>
        <w:t>Consequently, t</w:t>
      </w:r>
      <w:r w:rsidR="00EF6330" w:rsidRPr="00DF2B53">
        <w:rPr>
          <w:rFonts w:ascii="Times New Roman" w:hAnsi="Times New Roman" w:cs="Times New Roman"/>
        </w:rPr>
        <w:t xml:space="preserve">he </w:t>
      </w:r>
      <w:proofErr w:type="spellStart"/>
      <w:r w:rsidR="00EF6330" w:rsidRPr="00DF2B53">
        <w:rPr>
          <w:rFonts w:ascii="Times New Roman" w:hAnsi="Times New Roman" w:cs="Times New Roman"/>
        </w:rPr>
        <w:t>SoE</w:t>
      </w:r>
      <w:proofErr w:type="spellEnd"/>
      <w:r w:rsidR="00EF6330" w:rsidRPr="00DF2B53">
        <w:rPr>
          <w:rFonts w:ascii="Times New Roman" w:hAnsi="Times New Roman" w:cs="Times New Roman"/>
        </w:rPr>
        <w:t xml:space="preserve"> became empty shells with fragile public authority and relevance, </w:t>
      </w:r>
      <w:r w:rsidR="00A53E6B" w:rsidRPr="00DF2B53">
        <w:rPr>
          <w:rFonts w:ascii="Times New Roman" w:hAnsi="Times New Roman" w:cs="Times New Roman"/>
        </w:rPr>
        <w:t xml:space="preserve">since they neither correlated with more effective management of the emergency, nor resulted in </w:t>
      </w:r>
      <w:r w:rsidR="00E55860" w:rsidRPr="00DF2B53">
        <w:rPr>
          <w:rFonts w:ascii="Times New Roman" w:hAnsi="Times New Roman" w:cs="Times New Roman"/>
        </w:rPr>
        <w:t xml:space="preserve">more </w:t>
      </w:r>
      <w:r w:rsidR="00D03470">
        <w:rPr>
          <w:rFonts w:ascii="Times New Roman" w:hAnsi="Times New Roman" w:cs="Times New Roman"/>
        </w:rPr>
        <w:t xml:space="preserve">(justified) </w:t>
      </w:r>
      <w:r w:rsidR="00E55860" w:rsidRPr="00DF2B53">
        <w:rPr>
          <w:rFonts w:ascii="Times New Roman" w:hAnsi="Times New Roman" w:cs="Times New Roman"/>
        </w:rPr>
        <w:t>restrictions</w:t>
      </w:r>
      <w:r w:rsidR="00D03470">
        <w:rPr>
          <w:rFonts w:ascii="Times New Roman" w:hAnsi="Times New Roman" w:cs="Times New Roman"/>
        </w:rPr>
        <w:t>.</w:t>
      </w:r>
    </w:p>
    <w:p w14:paraId="5E57F9FC" w14:textId="77777777" w:rsidR="00EF6330" w:rsidRPr="00DF2B53" w:rsidRDefault="00EF6330" w:rsidP="008E39DF">
      <w:pPr>
        <w:jc w:val="both"/>
        <w:rPr>
          <w:rFonts w:ascii="Times New Roman" w:hAnsi="Times New Roman" w:cs="Times New Roman"/>
        </w:rPr>
      </w:pPr>
    </w:p>
    <w:p w14:paraId="449A6098" w14:textId="7EA74574" w:rsidR="00A554D9" w:rsidRPr="00DF2B53" w:rsidRDefault="00F43D38" w:rsidP="008E39DF">
      <w:pPr>
        <w:jc w:val="both"/>
        <w:rPr>
          <w:rFonts w:ascii="Times New Roman" w:hAnsi="Times New Roman" w:cs="Times New Roman"/>
        </w:rPr>
      </w:pPr>
      <w:r w:rsidRPr="00DF2B53">
        <w:rPr>
          <w:rFonts w:ascii="Times New Roman" w:hAnsi="Times New Roman" w:cs="Times New Roman"/>
        </w:rPr>
        <w:t xml:space="preserve">Some of the measures </w:t>
      </w:r>
      <w:r w:rsidR="00A41981" w:rsidRPr="00DF2B53">
        <w:rPr>
          <w:rFonts w:ascii="Times New Roman" w:hAnsi="Times New Roman" w:cs="Times New Roman"/>
        </w:rPr>
        <w:t>(particularly the mandatory state quarantine facilities and the quarantining of Roma settlements) point to executive overreach</w:t>
      </w:r>
      <w:r w:rsidR="009F56E8" w:rsidRPr="00DF2B53">
        <w:rPr>
          <w:rFonts w:ascii="Times New Roman" w:hAnsi="Times New Roman" w:cs="Times New Roman"/>
        </w:rPr>
        <w:t xml:space="preserve">. </w:t>
      </w:r>
      <w:r w:rsidR="003659C1" w:rsidRPr="00DF2B53">
        <w:rPr>
          <w:rFonts w:ascii="Times New Roman" w:hAnsi="Times New Roman" w:cs="Times New Roman"/>
        </w:rPr>
        <w:t xml:space="preserve">The initial </w:t>
      </w:r>
      <w:proofErr w:type="spellStart"/>
      <w:r w:rsidR="003659C1" w:rsidRPr="00DF2B53">
        <w:rPr>
          <w:rFonts w:ascii="Times New Roman" w:hAnsi="Times New Roman" w:cs="Times New Roman"/>
        </w:rPr>
        <w:t>SoE</w:t>
      </w:r>
      <w:proofErr w:type="spellEnd"/>
      <w:r w:rsidR="003659C1" w:rsidRPr="00DF2B53">
        <w:rPr>
          <w:rFonts w:ascii="Times New Roman" w:hAnsi="Times New Roman" w:cs="Times New Roman"/>
        </w:rPr>
        <w:t xml:space="preserve"> </w:t>
      </w:r>
      <w:r w:rsidR="00915060" w:rsidRPr="00DF2B53">
        <w:rPr>
          <w:rFonts w:ascii="Times New Roman" w:hAnsi="Times New Roman" w:cs="Times New Roman"/>
        </w:rPr>
        <w:t>from March</w:t>
      </w:r>
      <w:r w:rsidR="00D03470">
        <w:rPr>
          <w:rFonts w:ascii="Times New Roman" w:hAnsi="Times New Roman" w:cs="Times New Roman"/>
        </w:rPr>
        <w:t xml:space="preserve"> 2020</w:t>
      </w:r>
      <w:r w:rsidR="00915060" w:rsidRPr="00DF2B53">
        <w:rPr>
          <w:rFonts w:ascii="Times New Roman" w:hAnsi="Times New Roman" w:cs="Times New Roman"/>
        </w:rPr>
        <w:t xml:space="preserve"> </w:t>
      </w:r>
      <w:r w:rsidR="003659C1" w:rsidRPr="00DF2B53">
        <w:rPr>
          <w:rFonts w:ascii="Times New Roman" w:hAnsi="Times New Roman" w:cs="Times New Roman"/>
        </w:rPr>
        <w:t xml:space="preserve">with limited scope to healthcare providers was adopted at an extraordinary sitting with </w:t>
      </w:r>
      <w:r w:rsidR="003659C1" w:rsidRPr="00DF2B53">
        <w:rPr>
          <w:rFonts w:ascii="Times New Roman" w:hAnsi="Times New Roman" w:cs="Times New Roman"/>
        </w:rPr>
        <w:lastRenderedPageBreak/>
        <w:t>an ‘oral justification’ only, missing any written proposal.</w:t>
      </w:r>
      <w:r w:rsidR="003659C1" w:rsidRPr="00DC52BD">
        <w:rPr>
          <w:rStyle w:val="FootnoteReference"/>
        </w:rPr>
        <w:footnoteReference w:id="61"/>
      </w:r>
      <w:r w:rsidR="00915060" w:rsidRPr="00DF2B53">
        <w:rPr>
          <w:rFonts w:ascii="Times New Roman" w:hAnsi="Times New Roman" w:cs="Times New Roman"/>
        </w:rPr>
        <w:t xml:space="preserve"> Its extension, adopted at the second to last sitting of the outgoing cabinet, </w:t>
      </w:r>
      <w:r w:rsidR="009F56E8" w:rsidRPr="00DF2B53">
        <w:rPr>
          <w:rFonts w:ascii="Times New Roman" w:hAnsi="Times New Roman" w:cs="Times New Roman"/>
        </w:rPr>
        <w:t>contains</w:t>
      </w:r>
      <w:r w:rsidR="00915060" w:rsidRPr="00DF2B53">
        <w:rPr>
          <w:rFonts w:ascii="Times New Roman" w:hAnsi="Times New Roman" w:cs="Times New Roman"/>
        </w:rPr>
        <w:t xml:space="preserve"> a written resolution but without any</w:t>
      </w:r>
      <w:r w:rsidR="00D03470">
        <w:rPr>
          <w:rFonts w:ascii="Times New Roman" w:hAnsi="Times New Roman" w:cs="Times New Roman"/>
        </w:rPr>
        <w:t xml:space="preserve"> accompanying</w:t>
      </w:r>
      <w:r w:rsidR="00915060" w:rsidRPr="00DF2B53">
        <w:rPr>
          <w:rFonts w:ascii="Times New Roman" w:hAnsi="Times New Roman" w:cs="Times New Roman"/>
        </w:rPr>
        <w:t xml:space="preserve"> justification.</w:t>
      </w:r>
      <w:r w:rsidR="00630A93" w:rsidRPr="00DC52BD">
        <w:rPr>
          <w:rStyle w:val="FootnoteReference"/>
        </w:rPr>
        <w:footnoteReference w:id="62"/>
      </w:r>
      <w:r w:rsidR="00915060" w:rsidRPr="00DF2B53">
        <w:rPr>
          <w:rFonts w:ascii="Times New Roman" w:hAnsi="Times New Roman" w:cs="Times New Roman"/>
        </w:rPr>
        <w:t xml:space="preserve"> </w:t>
      </w:r>
      <w:r w:rsidR="00A554D9" w:rsidRPr="00DF2B53">
        <w:rPr>
          <w:rFonts w:ascii="Times New Roman" w:hAnsi="Times New Roman" w:cs="Times New Roman"/>
        </w:rPr>
        <w:t xml:space="preserve">Equally missing is the justification for </w:t>
      </w:r>
      <w:r w:rsidR="00A554D9" w:rsidRPr="00DF2B53">
        <w:rPr>
          <w:rFonts w:ascii="Times New Roman" w:hAnsi="Times New Roman" w:cs="Times New Roman"/>
          <w:i/>
          <w:iCs/>
        </w:rPr>
        <w:t xml:space="preserve">ending </w:t>
      </w:r>
      <w:r w:rsidR="00A554D9" w:rsidRPr="00DF2B53">
        <w:rPr>
          <w:rFonts w:ascii="Times New Roman" w:hAnsi="Times New Roman" w:cs="Times New Roman"/>
        </w:rPr>
        <w:t xml:space="preserve">the </w:t>
      </w:r>
      <w:proofErr w:type="spellStart"/>
      <w:r w:rsidR="00A554D9" w:rsidRPr="00DF2B53">
        <w:rPr>
          <w:rFonts w:ascii="Times New Roman" w:hAnsi="Times New Roman" w:cs="Times New Roman"/>
        </w:rPr>
        <w:t>SoE</w:t>
      </w:r>
      <w:proofErr w:type="spellEnd"/>
      <w:r w:rsidR="00A554D9" w:rsidRPr="00DF2B53">
        <w:rPr>
          <w:rFonts w:ascii="Times New Roman" w:hAnsi="Times New Roman" w:cs="Times New Roman"/>
        </w:rPr>
        <w:t xml:space="preserve"> in June 2020</w:t>
      </w:r>
      <w:r w:rsidR="0056231D" w:rsidRPr="00DF2B53">
        <w:rPr>
          <w:rFonts w:ascii="Times New Roman" w:hAnsi="Times New Roman" w:cs="Times New Roman"/>
        </w:rPr>
        <w:t>,</w:t>
      </w:r>
      <w:r w:rsidR="00A554D9" w:rsidRPr="00DC52BD">
        <w:rPr>
          <w:rStyle w:val="FootnoteReference"/>
        </w:rPr>
        <w:footnoteReference w:id="63"/>
      </w:r>
      <w:r w:rsidR="006F54F3" w:rsidRPr="00DF2B53">
        <w:rPr>
          <w:rFonts w:ascii="Times New Roman" w:hAnsi="Times New Roman" w:cs="Times New Roman"/>
        </w:rPr>
        <w:t xml:space="preserve"> </w:t>
      </w:r>
      <w:r w:rsidR="00D03470">
        <w:rPr>
          <w:rFonts w:ascii="Times New Roman" w:hAnsi="Times New Roman" w:cs="Times New Roman"/>
        </w:rPr>
        <w:t xml:space="preserve">and </w:t>
      </w:r>
      <w:r w:rsidR="006F54F3" w:rsidRPr="00DF2B53">
        <w:rPr>
          <w:rFonts w:ascii="Times New Roman" w:hAnsi="Times New Roman" w:cs="Times New Roman"/>
        </w:rPr>
        <w:t>declaring it again in October 2020</w:t>
      </w:r>
      <w:r w:rsidR="00361425" w:rsidRPr="00DF2B53">
        <w:rPr>
          <w:rFonts w:ascii="Times New Roman" w:hAnsi="Times New Roman" w:cs="Times New Roman"/>
        </w:rPr>
        <w:t>,</w:t>
      </w:r>
      <w:r w:rsidR="00D03470">
        <w:rPr>
          <w:rFonts w:ascii="Times New Roman" w:hAnsi="Times New Roman" w:cs="Times New Roman"/>
        </w:rPr>
        <w:t xml:space="preserve"> </w:t>
      </w:r>
      <w:r w:rsidR="0056231D" w:rsidRPr="00DF2B53">
        <w:rPr>
          <w:rFonts w:ascii="Times New Roman" w:hAnsi="Times New Roman" w:cs="Times New Roman"/>
        </w:rPr>
        <w:t xml:space="preserve">with the initial proposal suggesting a 90-day period but the final </w:t>
      </w:r>
      <w:r w:rsidR="00361425" w:rsidRPr="00DF2B53">
        <w:rPr>
          <w:rFonts w:ascii="Times New Roman" w:hAnsi="Times New Roman" w:cs="Times New Roman"/>
        </w:rPr>
        <w:t>binding version reducing it to 45,</w:t>
      </w:r>
      <w:r w:rsidR="001D7635" w:rsidRPr="00DC52BD">
        <w:rPr>
          <w:rStyle w:val="FootnoteReference"/>
        </w:rPr>
        <w:footnoteReference w:id="64"/>
      </w:r>
      <w:r w:rsidR="00361425" w:rsidRPr="00DF2B53">
        <w:rPr>
          <w:rFonts w:ascii="Times New Roman" w:hAnsi="Times New Roman" w:cs="Times New Roman"/>
        </w:rPr>
        <w:t xml:space="preserve"> </w:t>
      </w:r>
      <w:r w:rsidR="00D03470">
        <w:rPr>
          <w:rFonts w:ascii="Times New Roman" w:hAnsi="Times New Roman" w:cs="Times New Roman"/>
        </w:rPr>
        <w:t xml:space="preserve">ultimately </w:t>
      </w:r>
      <w:r w:rsidR="00361425" w:rsidRPr="00DF2B53">
        <w:rPr>
          <w:rFonts w:ascii="Times New Roman" w:hAnsi="Times New Roman" w:cs="Times New Roman"/>
        </w:rPr>
        <w:t xml:space="preserve">extended to 90 </w:t>
      </w:r>
      <w:r w:rsidR="00D03470">
        <w:rPr>
          <w:rFonts w:ascii="Times New Roman" w:hAnsi="Times New Roman" w:cs="Times New Roman"/>
        </w:rPr>
        <w:t>days</w:t>
      </w:r>
      <w:r w:rsidR="00361425" w:rsidRPr="00DF2B53">
        <w:rPr>
          <w:rFonts w:ascii="Times New Roman" w:hAnsi="Times New Roman" w:cs="Times New Roman"/>
        </w:rPr>
        <w:t xml:space="preserve"> in November.</w:t>
      </w:r>
      <w:r w:rsidR="00361425" w:rsidRPr="00DC52BD">
        <w:rPr>
          <w:rStyle w:val="FootnoteReference"/>
        </w:rPr>
        <w:footnoteReference w:id="65"/>
      </w:r>
      <w:r w:rsidR="00A554D9" w:rsidRPr="00DF2B53">
        <w:rPr>
          <w:rFonts w:ascii="Times New Roman" w:hAnsi="Times New Roman" w:cs="Times New Roman"/>
        </w:rPr>
        <w:t xml:space="preserve"> </w:t>
      </w:r>
      <w:r w:rsidR="00252E49" w:rsidRPr="00DF2B53">
        <w:rPr>
          <w:rFonts w:ascii="Times New Roman" w:hAnsi="Times New Roman" w:cs="Times New Roman"/>
        </w:rPr>
        <w:t>T</w:t>
      </w:r>
      <w:r w:rsidR="008A1509" w:rsidRPr="00DF2B53">
        <w:rPr>
          <w:rFonts w:ascii="Times New Roman" w:hAnsi="Times New Roman" w:cs="Times New Roman"/>
        </w:rPr>
        <w:t xml:space="preserve">hese </w:t>
      </w:r>
      <w:r w:rsidR="00252E49" w:rsidRPr="00DF2B53">
        <w:rPr>
          <w:rFonts w:ascii="Times New Roman" w:hAnsi="Times New Roman" w:cs="Times New Roman"/>
        </w:rPr>
        <w:t>‘</w:t>
      </w:r>
      <w:r w:rsidR="008A1509" w:rsidRPr="00DF2B53">
        <w:rPr>
          <w:rFonts w:ascii="Times New Roman" w:hAnsi="Times New Roman" w:cs="Times New Roman"/>
        </w:rPr>
        <w:t xml:space="preserve">autumn </w:t>
      </w:r>
      <w:proofErr w:type="spellStart"/>
      <w:r w:rsidR="008A1509" w:rsidRPr="00DF2B53">
        <w:rPr>
          <w:rFonts w:ascii="Times New Roman" w:hAnsi="Times New Roman" w:cs="Times New Roman"/>
        </w:rPr>
        <w:t>S</w:t>
      </w:r>
      <w:r w:rsidR="00252E49" w:rsidRPr="00DF2B53">
        <w:rPr>
          <w:rFonts w:ascii="Times New Roman" w:hAnsi="Times New Roman" w:cs="Times New Roman"/>
        </w:rPr>
        <w:t>S</w:t>
      </w:r>
      <w:r w:rsidR="008A1509" w:rsidRPr="00DF2B53">
        <w:rPr>
          <w:rFonts w:ascii="Times New Roman" w:hAnsi="Times New Roman" w:cs="Times New Roman"/>
        </w:rPr>
        <w:t>oE</w:t>
      </w:r>
      <w:proofErr w:type="spellEnd"/>
      <w:r w:rsidR="00252E49" w:rsidRPr="00DF2B53">
        <w:rPr>
          <w:rFonts w:ascii="Times New Roman" w:hAnsi="Times New Roman" w:cs="Times New Roman"/>
        </w:rPr>
        <w:t xml:space="preserve">’ </w:t>
      </w:r>
      <w:r w:rsidR="008A1509" w:rsidRPr="00DF2B53">
        <w:rPr>
          <w:rFonts w:ascii="Times New Roman" w:hAnsi="Times New Roman" w:cs="Times New Roman"/>
        </w:rPr>
        <w:t>were initiated by the PM</w:t>
      </w:r>
      <w:r w:rsidR="009F56E8" w:rsidRPr="00DF2B53">
        <w:rPr>
          <w:rFonts w:ascii="Times New Roman" w:hAnsi="Times New Roman" w:cs="Times New Roman"/>
        </w:rPr>
        <w:t xml:space="preserve"> </w:t>
      </w:r>
      <w:r w:rsidR="008A1509" w:rsidRPr="00DF2B53">
        <w:rPr>
          <w:rFonts w:ascii="Times New Roman" w:hAnsi="Times New Roman" w:cs="Times New Roman"/>
        </w:rPr>
        <w:t xml:space="preserve">himself, rather than by the </w:t>
      </w:r>
      <w:r w:rsidR="00BD6A54" w:rsidRPr="00DF2B53">
        <w:rPr>
          <w:rFonts w:ascii="Times New Roman" w:hAnsi="Times New Roman" w:cs="Times New Roman"/>
        </w:rPr>
        <w:t>ministr</w:t>
      </w:r>
      <w:r w:rsidR="00582795">
        <w:rPr>
          <w:rFonts w:ascii="Times New Roman" w:hAnsi="Times New Roman" w:cs="Times New Roman"/>
        </w:rPr>
        <w:t>ies</w:t>
      </w:r>
      <w:r w:rsidR="00BD6A54" w:rsidRPr="00DF2B53">
        <w:rPr>
          <w:rFonts w:ascii="Times New Roman" w:hAnsi="Times New Roman" w:cs="Times New Roman"/>
        </w:rPr>
        <w:t xml:space="preserve"> of health or of interior</w:t>
      </w:r>
      <w:r w:rsidR="00C75A5C" w:rsidRPr="00DF2B53">
        <w:rPr>
          <w:rFonts w:ascii="Times New Roman" w:hAnsi="Times New Roman" w:cs="Times New Roman"/>
        </w:rPr>
        <w:t xml:space="preserve"> which</w:t>
      </w:r>
      <w:r w:rsidR="009F56E8" w:rsidRPr="00DF2B53">
        <w:rPr>
          <w:rFonts w:ascii="Times New Roman" w:hAnsi="Times New Roman" w:cs="Times New Roman"/>
        </w:rPr>
        <w:t xml:space="preserve"> h</w:t>
      </w:r>
      <w:r w:rsidR="00582795">
        <w:rPr>
          <w:rFonts w:ascii="Times New Roman" w:hAnsi="Times New Roman" w:cs="Times New Roman"/>
        </w:rPr>
        <w:t>ave</w:t>
      </w:r>
      <w:r w:rsidR="009F56E8" w:rsidRPr="00DF2B53">
        <w:rPr>
          <w:rFonts w:ascii="Times New Roman" w:hAnsi="Times New Roman" w:cs="Times New Roman"/>
        </w:rPr>
        <w:t xml:space="preserve"> </w:t>
      </w:r>
      <w:r w:rsidR="00C75A5C" w:rsidRPr="00DF2B53">
        <w:rPr>
          <w:rFonts w:ascii="Times New Roman" w:hAnsi="Times New Roman" w:cs="Times New Roman"/>
        </w:rPr>
        <w:t xml:space="preserve">more expert resources to evaluate the social contexts </w:t>
      </w:r>
      <w:r w:rsidR="00996F76" w:rsidRPr="00DF2B53">
        <w:rPr>
          <w:rFonts w:ascii="Times New Roman" w:hAnsi="Times New Roman" w:cs="Times New Roman"/>
        </w:rPr>
        <w:t xml:space="preserve">and provide an informed assessment </w:t>
      </w:r>
      <w:r w:rsidR="00582795">
        <w:rPr>
          <w:rFonts w:ascii="Times New Roman" w:hAnsi="Times New Roman" w:cs="Times New Roman"/>
        </w:rPr>
        <w:t xml:space="preserve">of the need for an </w:t>
      </w:r>
      <w:proofErr w:type="spellStart"/>
      <w:r w:rsidR="00996F76" w:rsidRPr="00DF2B53">
        <w:rPr>
          <w:rFonts w:ascii="Times New Roman" w:hAnsi="Times New Roman" w:cs="Times New Roman"/>
        </w:rPr>
        <w:t>SoE</w:t>
      </w:r>
      <w:proofErr w:type="spellEnd"/>
      <w:r w:rsidR="00996F76" w:rsidRPr="00DF2B53">
        <w:rPr>
          <w:rFonts w:ascii="Times New Roman" w:hAnsi="Times New Roman" w:cs="Times New Roman"/>
        </w:rPr>
        <w:t xml:space="preserve">. </w:t>
      </w:r>
    </w:p>
    <w:p w14:paraId="01EBC7C2" w14:textId="77777777" w:rsidR="00252E49" w:rsidRPr="00DF2B53" w:rsidRDefault="00252E49" w:rsidP="008E39DF">
      <w:pPr>
        <w:jc w:val="both"/>
        <w:rPr>
          <w:rFonts w:ascii="Times New Roman" w:hAnsi="Times New Roman" w:cs="Times New Roman"/>
        </w:rPr>
      </w:pPr>
    </w:p>
    <w:p w14:paraId="73425C8B" w14:textId="2D9F054D" w:rsidR="008E39DF" w:rsidRPr="00DF2B53" w:rsidRDefault="008E39DF" w:rsidP="008E39DF">
      <w:pPr>
        <w:jc w:val="both"/>
        <w:rPr>
          <w:rFonts w:ascii="Times New Roman" w:hAnsi="Times New Roman" w:cs="Times New Roman"/>
          <w:b/>
          <w:bCs/>
        </w:rPr>
      </w:pPr>
      <w:r w:rsidRPr="00DF2B53">
        <w:rPr>
          <w:rFonts w:ascii="Times New Roman" w:hAnsi="Times New Roman" w:cs="Times New Roman"/>
        </w:rPr>
        <w:t xml:space="preserve">The initial state of </w:t>
      </w:r>
      <w:r w:rsidR="00952587" w:rsidRPr="00DF2B53">
        <w:rPr>
          <w:rFonts w:ascii="Times New Roman" w:hAnsi="Times New Roman" w:cs="Times New Roman"/>
        </w:rPr>
        <w:t>emergency</w:t>
      </w:r>
      <w:r w:rsidRPr="00DF2B53">
        <w:rPr>
          <w:rFonts w:ascii="Times New Roman" w:hAnsi="Times New Roman" w:cs="Times New Roman"/>
        </w:rPr>
        <w:t xml:space="preserve"> lasted 90 days and ended in June. The next series of states of </w:t>
      </w:r>
      <w:r w:rsidR="00952587" w:rsidRPr="00DF2B53">
        <w:rPr>
          <w:rFonts w:ascii="Times New Roman" w:hAnsi="Times New Roman" w:cs="Times New Roman"/>
        </w:rPr>
        <w:t>emergency</w:t>
      </w:r>
      <w:r w:rsidRPr="00DF2B53">
        <w:rPr>
          <w:rFonts w:ascii="Times New Roman" w:hAnsi="Times New Roman" w:cs="Times New Roman"/>
        </w:rPr>
        <w:t xml:space="preserve"> was not initiated until October, prompted by the rising number of cases. As the situation did not </w:t>
      </w:r>
      <w:r w:rsidR="00582795">
        <w:rPr>
          <w:rFonts w:ascii="Times New Roman" w:hAnsi="Times New Roman" w:cs="Times New Roman"/>
        </w:rPr>
        <w:t>improve before</w:t>
      </w:r>
      <w:r w:rsidRPr="00DF2B53">
        <w:rPr>
          <w:rFonts w:ascii="Times New Roman" w:hAnsi="Times New Roman" w:cs="Times New Roman"/>
        </w:rPr>
        <w:t xml:space="preserve"> the expiration of the </w:t>
      </w:r>
      <w:proofErr w:type="spellStart"/>
      <w:r w:rsidR="00582795">
        <w:rPr>
          <w:rFonts w:ascii="Times New Roman" w:hAnsi="Times New Roman" w:cs="Times New Roman"/>
        </w:rPr>
        <w:t>SoE</w:t>
      </w:r>
      <w:proofErr w:type="spellEnd"/>
      <w:r w:rsidRPr="00DF2B53">
        <w:rPr>
          <w:rFonts w:ascii="Times New Roman" w:hAnsi="Times New Roman" w:cs="Times New Roman"/>
        </w:rPr>
        <w:t xml:space="preserve"> at the end of 2020, the governing coalition decided to amend </w:t>
      </w:r>
      <w:r w:rsidR="009F56E8" w:rsidRPr="00DF2B53">
        <w:rPr>
          <w:rFonts w:ascii="Times New Roman" w:hAnsi="Times New Roman" w:cs="Times New Roman"/>
        </w:rPr>
        <w:t>the legislation, introducing the</w:t>
      </w:r>
      <w:r w:rsidRPr="00DF2B53">
        <w:rPr>
          <w:rFonts w:ascii="Times New Roman" w:hAnsi="Times New Roman" w:cs="Times New Roman"/>
        </w:rPr>
        <w:t xml:space="preserve"> ‘pandemic state of </w:t>
      </w:r>
      <w:r w:rsidR="00952587" w:rsidRPr="00DF2B53">
        <w:rPr>
          <w:rFonts w:ascii="Times New Roman" w:hAnsi="Times New Roman" w:cs="Times New Roman"/>
        </w:rPr>
        <w:t>emergency</w:t>
      </w:r>
      <w:r w:rsidRPr="00DF2B53">
        <w:rPr>
          <w:rFonts w:ascii="Times New Roman" w:hAnsi="Times New Roman" w:cs="Times New Roman"/>
        </w:rPr>
        <w:t xml:space="preserve">’ (see above). </w:t>
      </w:r>
    </w:p>
    <w:p w14:paraId="18905FD3" w14:textId="038A14AB" w:rsidR="001E7EE2" w:rsidRPr="00DF2B53" w:rsidRDefault="00F43D38" w:rsidP="0024699A">
      <w:pPr>
        <w:jc w:val="both"/>
        <w:rPr>
          <w:rFonts w:ascii="Times New Roman" w:hAnsi="Times New Roman" w:cs="Times New Roman"/>
        </w:rPr>
      </w:pPr>
      <w:r w:rsidRPr="00DF2B53">
        <w:rPr>
          <w:rFonts w:ascii="Times New Roman" w:hAnsi="Times New Roman" w:cs="Times New Roman"/>
        </w:rPr>
        <w:t xml:space="preserve">  </w:t>
      </w:r>
    </w:p>
    <w:p w14:paraId="04F45C1D" w14:textId="04B90793" w:rsidR="005F4FC6" w:rsidRPr="00DF2B53" w:rsidRDefault="00F45B2C" w:rsidP="0024699A">
      <w:pPr>
        <w:jc w:val="both"/>
        <w:rPr>
          <w:rFonts w:ascii="Times New Roman" w:hAnsi="Times New Roman" w:cs="Times New Roman"/>
        </w:rPr>
      </w:pPr>
      <w:r>
        <w:rPr>
          <w:rFonts w:ascii="Times New Roman" w:hAnsi="Times New Roman" w:cs="Times New Roman"/>
        </w:rPr>
        <w:t>T</w:t>
      </w:r>
      <w:r w:rsidR="00952587" w:rsidRPr="00DF2B53">
        <w:rPr>
          <w:rFonts w:ascii="Times New Roman" w:hAnsi="Times New Roman" w:cs="Times New Roman"/>
        </w:rPr>
        <w:t>he governmental inaction during the summer</w:t>
      </w:r>
      <w:r w:rsidR="00E350A4" w:rsidRPr="00DF2B53">
        <w:rPr>
          <w:rFonts w:ascii="Times New Roman" w:hAnsi="Times New Roman" w:cs="Times New Roman"/>
        </w:rPr>
        <w:t xml:space="preserve"> 2020</w:t>
      </w:r>
      <w:r w:rsidR="00952587" w:rsidRPr="00DF2B53">
        <w:rPr>
          <w:rFonts w:ascii="Times New Roman" w:hAnsi="Times New Roman" w:cs="Times New Roman"/>
        </w:rPr>
        <w:t xml:space="preserve"> is an example of executive </w:t>
      </w:r>
      <w:r w:rsidR="00952587" w:rsidRPr="00DF2B53">
        <w:rPr>
          <w:rFonts w:ascii="Times New Roman" w:hAnsi="Times New Roman" w:cs="Times New Roman"/>
          <w:i/>
          <w:iCs/>
        </w:rPr>
        <w:t>underreach</w:t>
      </w:r>
      <w:r w:rsidR="00952587" w:rsidRPr="00DF2B53">
        <w:rPr>
          <w:rFonts w:ascii="Times New Roman" w:hAnsi="Times New Roman" w:cs="Times New Roman"/>
        </w:rPr>
        <w:t xml:space="preserve">. </w:t>
      </w:r>
      <w:r w:rsidR="005F4FC6" w:rsidRPr="00DF2B53">
        <w:rPr>
          <w:rFonts w:ascii="Times New Roman" w:hAnsi="Times New Roman" w:cs="Times New Roman"/>
        </w:rPr>
        <w:t xml:space="preserve">Following </w:t>
      </w:r>
      <w:proofErr w:type="spellStart"/>
      <w:r w:rsidR="005F4FC6" w:rsidRPr="00DF2B53">
        <w:rPr>
          <w:rFonts w:ascii="Times New Roman" w:hAnsi="Times New Roman" w:cs="Times New Roman"/>
        </w:rPr>
        <w:t>Pozen</w:t>
      </w:r>
      <w:proofErr w:type="spellEnd"/>
      <w:r w:rsidR="005F4FC6" w:rsidRPr="00DF2B53">
        <w:rPr>
          <w:rFonts w:ascii="Times New Roman" w:hAnsi="Times New Roman" w:cs="Times New Roman"/>
        </w:rPr>
        <w:t xml:space="preserve"> and </w:t>
      </w:r>
      <w:proofErr w:type="spellStart"/>
      <w:r w:rsidR="005F4FC6" w:rsidRPr="00DF2B53">
        <w:rPr>
          <w:rFonts w:ascii="Times New Roman" w:hAnsi="Times New Roman" w:cs="Times New Roman"/>
        </w:rPr>
        <w:t>Scheppele</w:t>
      </w:r>
      <w:proofErr w:type="spellEnd"/>
      <w:r w:rsidR="005F4FC6" w:rsidRPr="00DF2B53">
        <w:rPr>
          <w:rFonts w:ascii="Times New Roman" w:hAnsi="Times New Roman" w:cs="Times New Roman"/>
        </w:rPr>
        <w:t>, there was reasonable access to information as well as competences in place to prepare (</w:t>
      </w:r>
      <w:proofErr w:type="gramStart"/>
      <w:r w:rsidR="005F4FC6" w:rsidRPr="00DF2B53">
        <w:rPr>
          <w:rFonts w:ascii="Times New Roman" w:hAnsi="Times New Roman" w:cs="Times New Roman"/>
        </w:rPr>
        <w:t>e.g.</w:t>
      </w:r>
      <w:proofErr w:type="gramEnd"/>
      <w:r w:rsidR="005F4FC6" w:rsidRPr="00DF2B53">
        <w:rPr>
          <w:rFonts w:ascii="Times New Roman" w:hAnsi="Times New Roman" w:cs="Times New Roman"/>
        </w:rPr>
        <w:t xml:space="preserve"> by signalling to the population the need to brace for the new wave, the increase of hospital capacities, the preparation of alternative effective scenarios for digital education etc.).</w:t>
      </w:r>
      <w:r w:rsidR="00BA01E7" w:rsidRPr="00DF2B53">
        <w:rPr>
          <w:rFonts w:ascii="Times New Roman" w:hAnsi="Times New Roman" w:cs="Times New Roman"/>
        </w:rPr>
        <w:t xml:space="preserve"> Yet, t</w:t>
      </w:r>
      <w:r w:rsidR="00952587" w:rsidRPr="00DF2B53">
        <w:rPr>
          <w:rFonts w:ascii="Times New Roman" w:hAnsi="Times New Roman" w:cs="Times New Roman"/>
        </w:rPr>
        <w:t xml:space="preserve">he </w:t>
      </w:r>
      <w:r w:rsidR="00E350A4" w:rsidRPr="00DF2B53">
        <w:rPr>
          <w:rFonts w:ascii="Times New Roman" w:hAnsi="Times New Roman" w:cs="Times New Roman"/>
        </w:rPr>
        <w:t xml:space="preserve">executive led by PM Igor </w:t>
      </w:r>
      <w:proofErr w:type="spellStart"/>
      <w:r w:rsidR="00E350A4" w:rsidRPr="00DF2B53">
        <w:rPr>
          <w:rFonts w:ascii="Times New Roman" w:hAnsi="Times New Roman" w:cs="Times New Roman"/>
        </w:rPr>
        <w:t>Matovič</w:t>
      </w:r>
      <w:proofErr w:type="spellEnd"/>
      <w:r w:rsidR="00BA01E7" w:rsidRPr="00DF2B53">
        <w:rPr>
          <w:rFonts w:ascii="Times New Roman" w:hAnsi="Times New Roman" w:cs="Times New Roman"/>
        </w:rPr>
        <w:t xml:space="preserve"> ‘went on a summer vacation’</w:t>
      </w:r>
      <w:r w:rsidR="00BA01E7" w:rsidRPr="00DC52BD">
        <w:rPr>
          <w:rStyle w:val="FootnoteReference"/>
        </w:rPr>
        <w:footnoteReference w:id="66"/>
      </w:r>
      <w:r w:rsidR="00BA01E7" w:rsidRPr="00DF2B53">
        <w:rPr>
          <w:rFonts w:ascii="Times New Roman" w:hAnsi="Times New Roman" w:cs="Times New Roman"/>
        </w:rPr>
        <w:t>:</w:t>
      </w:r>
      <w:r w:rsidR="00E350A4" w:rsidRPr="00DF2B53">
        <w:rPr>
          <w:rFonts w:ascii="Times New Roman" w:hAnsi="Times New Roman" w:cs="Times New Roman"/>
        </w:rPr>
        <w:t xml:space="preserve"> resigned on its duty to prepare for the inevitable rise of cases during a ‘breather’ in the summer months, while also alienating a portion of the population which detested the overextension of rights restrictions in the early stages of the pandemic. </w:t>
      </w:r>
    </w:p>
    <w:p w14:paraId="024DA64A" w14:textId="77F106BF" w:rsidR="005F4FC6" w:rsidRPr="00DF2B53" w:rsidRDefault="005F4FC6" w:rsidP="0024699A">
      <w:pPr>
        <w:jc w:val="both"/>
        <w:rPr>
          <w:rFonts w:ascii="Times New Roman" w:hAnsi="Times New Roman" w:cs="Times New Roman"/>
        </w:rPr>
      </w:pPr>
    </w:p>
    <w:p w14:paraId="71844437" w14:textId="029B4FBB" w:rsidR="00A95E4A" w:rsidRPr="00DF2B53" w:rsidRDefault="005F4FC6" w:rsidP="0024699A">
      <w:pPr>
        <w:jc w:val="both"/>
        <w:rPr>
          <w:rFonts w:ascii="Times New Roman" w:hAnsi="Times New Roman" w:cs="Times New Roman"/>
        </w:rPr>
      </w:pPr>
      <w:r w:rsidRPr="00DF2B53">
        <w:rPr>
          <w:rFonts w:ascii="Times New Roman" w:hAnsi="Times New Roman" w:cs="Times New Roman"/>
        </w:rPr>
        <w:t xml:space="preserve">In the fall, </w:t>
      </w:r>
      <w:r w:rsidR="00F91E58" w:rsidRPr="00DF2B53">
        <w:rPr>
          <w:rFonts w:ascii="Times New Roman" w:hAnsi="Times New Roman" w:cs="Times New Roman"/>
        </w:rPr>
        <w:t xml:space="preserve">some of the stringent measures were reintroduced, and the flagship project of mandatory testing of the whole population, </w:t>
      </w:r>
      <w:r w:rsidR="00181449">
        <w:rPr>
          <w:rFonts w:ascii="Times New Roman" w:hAnsi="Times New Roman" w:cs="Times New Roman"/>
        </w:rPr>
        <w:t xml:space="preserve">PM </w:t>
      </w:r>
      <w:proofErr w:type="spellStart"/>
      <w:r w:rsidR="00181449">
        <w:rPr>
          <w:rFonts w:ascii="Times New Roman" w:hAnsi="Times New Roman" w:cs="Times New Roman"/>
        </w:rPr>
        <w:t>Matovič</w:t>
      </w:r>
      <w:proofErr w:type="spellEnd"/>
      <w:r w:rsidR="00181449">
        <w:rPr>
          <w:rFonts w:ascii="Times New Roman" w:hAnsi="Times New Roman" w:cs="Times New Roman"/>
          <w:lang w:val="en-US"/>
        </w:rPr>
        <w:t xml:space="preserve">’s own </w:t>
      </w:r>
      <w:r w:rsidR="00F91E58" w:rsidRPr="00DF2B53">
        <w:rPr>
          <w:rFonts w:ascii="Times New Roman" w:hAnsi="Times New Roman" w:cs="Times New Roman"/>
        </w:rPr>
        <w:t xml:space="preserve">idea, was implemented, contrary to </w:t>
      </w:r>
      <w:r w:rsidR="009F56E8" w:rsidRPr="00DF2B53">
        <w:rPr>
          <w:rFonts w:ascii="Times New Roman" w:hAnsi="Times New Roman" w:cs="Times New Roman"/>
        </w:rPr>
        <w:t>expert advice</w:t>
      </w:r>
      <w:r w:rsidR="003E3D01">
        <w:rPr>
          <w:rFonts w:ascii="Times New Roman" w:hAnsi="Times New Roman" w:cs="Times New Roman"/>
        </w:rPr>
        <w:t>.</w:t>
      </w:r>
      <w:r w:rsidR="00F91E58" w:rsidRPr="00DC52BD">
        <w:rPr>
          <w:rStyle w:val="FootnoteReference"/>
        </w:rPr>
        <w:footnoteReference w:id="67"/>
      </w:r>
      <w:r w:rsidR="00F91E58" w:rsidRPr="00DF2B53">
        <w:rPr>
          <w:rFonts w:ascii="Times New Roman" w:hAnsi="Times New Roman" w:cs="Times New Roman"/>
        </w:rPr>
        <w:t xml:space="preserve"> This</w:t>
      </w:r>
      <w:r w:rsidRPr="00DF2B53">
        <w:rPr>
          <w:rFonts w:ascii="Times New Roman" w:hAnsi="Times New Roman" w:cs="Times New Roman"/>
        </w:rPr>
        <w:t xml:space="preserve"> testing, an example  of </w:t>
      </w:r>
      <w:r w:rsidRPr="00DF2B53">
        <w:rPr>
          <w:rFonts w:ascii="Times New Roman" w:hAnsi="Times New Roman" w:cs="Times New Roman"/>
          <w:i/>
          <w:iCs/>
        </w:rPr>
        <w:t>overreach</w:t>
      </w:r>
      <w:r w:rsidRPr="00DF2B53">
        <w:rPr>
          <w:rFonts w:ascii="Times New Roman" w:hAnsi="Times New Roman" w:cs="Times New Roman"/>
        </w:rPr>
        <w:t xml:space="preserve">, was introduced by the PM with a claim that it </w:t>
      </w:r>
      <w:r w:rsidR="00F91E58" w:rsidRPr="00DF2B53">
        <w:rPr>
          <w:rFonts w:ascii="Times New Roman" w:hAnsi="Times New Roman" w:cs="Times New Roman"/>
        </w:rPr>
        <w:t>alone will suffice to ‘defeat’ the virus.</w:t>
      </w:r>
      <w:r w:rsidR="00F91E58" w:rsidRPr="00DC52BD">
        <w:rPr>
          <w:rStyle w:val="FootnoteReference"/>
        </w:rPr>
        <w:footnoteReference w:id="68"/>
      </w:r>
      <w:r w:rsidR="00F91E58" w:rsidRPr="00DF2B53">
        <w:rPr>
          <w:rFonts w:ascii="Times New Roman" w:hAnsi="Times New Roman" w:cs="Times New Roman"/>
        </w:rPr>
        <w:t xml:space="preserve"> The</w:t>
      </w:r>
      <w:r w:rsidRPr="00DF2B53">
        <w:rPr>
          <w:rFonts w:ascii="Times New Roman" w:hAnsi="Times New Roman" w:cs="Times New Roman"/>
        </w:rPr>
        <w:t xml:space="preserve"> (expected)</w:t>
      </w:r>
      <w:r w:rsidR="00F91E58" w:rsidRPr="00DF2B53">
        <w:rPr>
          <w:rFonts w:ascii="Times New Roman" w:hAnsi="Times New Roman" w:cs="Times New Roman"/>
        </w:rPr>
        <w:t xml:space="preserve"> failure of the testing </w:t>
      </w:r>
      <w:r w:rsidR="00F91E58" w:rsidRPr="00DF2B53">
        <w:rPr>
          <w:rFonts w:ascii="Times New Roman" w:hAnsi="Times New Roman" w:cs="Times New Roman"/>
        </w:rPr>
        <w:lastRenderedPageBreak/>
        <w:t>to have a noticeable effect on the number of cases may have contributed to</w:t>
      </w:r>
      <w:r w:rsidRPr="00DF2B53">
        <w:rPr>
          <w:rFonts w:ascii="Times New Roman" w:hAnsi="Times New Roman" w:cs="Times New Roman"/>
        </w:rPr>
        <w:t xml:space="preserve"> further erosion of trust in the executive.</w:t>
      </w:r>
      <w:r w:rsidR="003D3EC5" w:rsidRPr="00DC52BD">
        <w:rPr>
          <w:rStyle w:val="FootnoteReference"/>
        </w:rPr>
        <w:footnoteReference w:id="69"/>
      </w:r>
      <w:r w:rsidRPr="00DF2B53">
        <w:rPr>
          <w:rFonts w:ascii="Times New Roman" w:hAnsi="Times New Roman" w:cs="Times New Roman"/>
        </w:rPr>
        <w:t xml:space="preserve"> </w:t>
      </w:r>
      <w:r w:rsidR="00BA01E7" w:rsidRPr="00DF2B53">
        <w:rPr>
          <w:rFonts w:ascii="Times New Roman" w:hAnsi="Times New Roman" w:cs="Times New Roman"/>
        </w:rPr>
        <w:t xml:space="preserve">Along this instance of overreach, </w:t>
      </w:r>
      <w:r w:rsidR="00BA01E7" w:rsidRPr="00DF2B53">
        <w:rPr>
          <w:rFonts w:ascii="Times New Roman" w:hAnsi="Times New Roman" w:cs="Times New Roman"/>
          <w:i/>
          <w:iCs/>
        </w:rPr>
        <w:t xml:space="preserve">underreach </w:t>
      </w:r>
      <w:r w:rsidR="009F56E8" w:rsidRPr="00DF2B53">
        <w:rPr>
          <w:rFonts w:ascii="Times New Roman" w:hAnsi="Times New Roman" w:cs="Times New Roman"/>
        </w:rPr>
        <w:t>simultaneously occu</w:t>
      </w:r>
      <w:r w:rsidR="007405BE">
        <w:rPr>
          <w:rFonts w:ascii="Times New Roman" w:hAnsi="Times New Roman" w:cs="Times New Roman"/>
        </w:rPr>
        <w:t>r</w:t>
      </w:r>
      <w:r w:rsidR="009F56E8" w:rsidRPr="00DF2B53">
        <w:rPr>
          <w:rFonts w:ascii="Times New Roman" w:hAnsi="Times New Roman" w:cs="Times New Roman"/>
        </w:rPr>
        <w:t>r</w:t>
      </w:r>
      <w:r w:rsidR="007405BE">
        <w:rPr>
          <w:rFonts w:ascii="Times New Roman" w:hAnsi="Times New Roman" w:cs="Times New Roman"/>
        </w:rPr>
        <w:t>ed</w:t>
      </w:r>
      <w:r w:rsidR="00BA01E7" w:rsidRPr="00DF2B53">
        <w:rPr>
          <w:rFonts w:ascii="Times New Roman" w:hAnsi="Times New Roman" w:cs="Times New Roman"/>
        </w:rPr>
        <w:t>, when schools remained closed despite the permission to hold various cultural and religious</w:t>
      </w:r>
      <w:r w:rsidR="008634D7">
        <w:rPr>
          <w:rFonts w:ascii="Times New Roman" w:hAnsi="Times New Roman" w:cs="Times New Roman"/>
        </w:rPr>
        <w:t xml:space="preserve"> (in practice mainly Christian)</w:t>
      </w:r>
      <w:r w:rsidR="00BA01E7" w:rsidRPr="00DF2B53">
        <w:rPr>
          <w:rFonts w:ascii="Times New Roman" w:hAnsi="Times New Roman" w:cs="Times New Roman"/>
        </w:rPr>
        <w:t xml:space="preserve"> gathering. Moreover, no strategies to address the needs of pupils from disadvantaged population were implemented.</w:t>
      </w:r>
      <w:r w:rsidR="00BA01E7" w:rsidRPr="00DC52BD">
        <w:rPr>
          <w:rStyle w:val="FootnoteReference"/>
        </w:rPr>
        <w:footnoteReference w:id="70"/>
      </w:r>
      <w:r w:rsidR="00BA01E7" w:rsidRPr="00DF2B53">
        <w:rPr>
          <w:rFonts w:ascii="Times New Roman" w:hAnsi="Times New Roman" w:cs="Times New Roman"/>
        </w:rPr>
        <w:t xml:space="preserve"> </w:t>
      </w:r>
      <w:r w:rsidR="009F56E8" w:rsidRPr="00DF2B53">
        <w:rPr>
          <w:rFonts w:ascii="Times New Roman" w:hAnsi="Times New Roman" w:cs="Times New Roman"/>
        </w:rPr>
        <w:t>Executive overreach surfaced again via</w:t>
      </w:r>
      <w:r w:rsidR="00AB49D0" w:rsidRPr="00DF2B53">
        <w:rPr>
          <w:rFonts w:ascii="Times New Roman" w:hAnsi="Times New Roman" w:cs="Times New Roman"/>
        </w:rPr>
        <w:t xml:space="preserve"> the foray of PM </w:t>
      </w:r>
      <w:proofErr w:type="spellStart"/>
      <w:r w:rsidR="00AB49D0" w:rsidRPr="00DF2B53">
        <w:rPr>
          <w:rFonts w:ascii="Times New Roman" w:hAnsi="Times New Roman" w:cs="Times New Roman"/>
        </w:rPr>
        <w:t>Matovič</w:t>
      </w:r>
      <w:proofErr w:type="spellEnd"/>
      <w:r w:rsidR="00AB49D0" w:rsidRPr="00DF2B53">
        <w:rPr>
          <w:rFonts w:ascii="Times New Roman" w:hAnsi="Times New Roman" w:cs="Times New Roman"/>
        </w:rPr>
        <w:t xml:space="preserve"> into supporting the purchase of a large supply of the Russian Sputni</w:t>
      </w:r>
      <w:r w:rsidR="009F56E8" w:rsidRPr="00DF2B53">
        <w:rPr>
          <w:rFonts w:ascii="Times New Roman" w:hAnsi="Times New Roman" w:cs="Times New Roman"/>
        </w:rPr>
        <w:t>k</w:t>
      </w:r>
      <w:r w:rsidR="00B43C6B" w:rsidRPr="00DF2B53">
        <w:rPr>
          <w:rFonts w:ascii="Times New Roman" w:hAnsi="Times New Roman" w:cs="Times New Roman"/>
        </w:rPr>
        <w:t xml:space="preserve"> V vaccine; </w:t>
      </w:r>
      <w:r w:rsidR="00470C38" w:rsidRPr="00DF2B53">
        <w:rPr>
          <w:rFonts w:ascii="Times New Roman" w:hAnsi="Times New Roman" w:cs="Times New Roman"/>
        </w:rPr>
        <w:t>the decision was taken by him unilaterally</w:t>
      </w:r>
      <w:r w:rsidR="00646459" w:rsidRPr="00DC52BD">
        <w:rPr>
          <w:rStyle w:val="FootnoteReference"/>
        </w:rPr>
        <w:footnoteReference w:id="71"/>
      </w:r>
      <w:r w:rsidR="00470C38" w:rsidRPr="00DF2B53">
        <w:rPr>
          <w:rFonts w:ascii="Times New Roman" w:hAnsi="Times New Roman" w:cs="Times New Roman"/>
        </w:rPr>
        <w:t xml:space="preserve"> </w:t>
      </w:r>
      <w:r w:rsidR="002C691F" w:rsidRPr="00DF2B53">
        <w:rPr>
          <w:rFonts w:ascii="Times New Roman" w:hAnsi="Times New Roman" w:cs="Times New Roman"/>
        </w:rPr>
        <w:t>disregarding expert advice</w:t>
      </w:r>
      <w:r w:rsidR="00832072" w:rsidRPr="00DF2B53">
        <w:rPr>
          <w:rFonts w:ascii="Times New Roman" w:hAnsi="Times New Roman" w:cs="Times New Roman"/>
        </w:rPr>
        <w:t xml:space="preserve"> concerning</w:t>
      </w:r>
      <w:r w:rsidR="00470C38" w:rsidRPr="00DF2B53">
        <w:rPr>
          <w:rFonts w:ascii="Times New Roman" w:hAnsi="Times New Roman" w:cs="Times New Roman"/>
        </w:rPr>
        <w:t xml:space="preserve"> the ineffectiveness of the vaccine, not to mention the diplomatic repercussions of Slovakia undermining the </w:t>
      </w:r>
      <w:r w:rsidR="00646459" w:rsidRPr="00DF2B53">
        <w:rPr>
          <w:rFonts w:ascii="Times New Roman" w:hAnsi="Times New Roman" w:cs="Times New Roman"/>
        </w:rPr>
        <w:t>collaboration on vaccine supplies in the EU</w:t>
      </w:r>
      <w:r w:rsidR="00D018E7" w:rsidRPr="00DF2B53">
        <w:rPr>
          <w:rFonts w:ascii="Times New Roman" w:hAnsi="Times New Roman" w:cs="Times New Roman"/>
        </w:rPr>
        <w:t xml:space="preserve"> and threatening the </w:t>
      </w:r>
      <w:r w:rsidR="003F192B" w:rsidRPr="00DF2B53">
        <w:rPr>
          <w:rFonts w:ascii="Times New Roman" w:hAnsi="Times New Roman" w:cs="Times New Roman"/>
        </w:rPr>
        <w:t>quality of immunity-building of its population</w:t>
      </w:r>
      <w:r w:rsidR="00646459" w:rsidRPr="00DF2B53">
        <w:rPr>
          <w:rFonts w:ascii="Times New Roman" w:hAnsi="Times New Roman" w:cs="Times New Roman"/>
        </w:rPr>
        <w:t>.</w:t>
      </w:r>
      <w:r w:rsidR="00B36F27" w:rsidRPr="00DF2B53">
        <w:rPr>
          <w:rFonts w:ascii="Times New Roman" w:hAnsi="Times New Roman" w:cs="Times New Roman"/>
        </w:rPr>
        <w:t xml:space="preserve"> Even though this</w:t>
      </w:r>
      <w:r w:rsidR="00C93B12" w:rsidRPr="00DF2B53">
        <w:rPr>
          <w:rFonts w:ascii="Times New Roman" w:hAnsi="Times New Roman" w:cs="Times New Roman"/>
        </w:rPr>
        <w:t xml:space="preserve"> Slovak</w:t>
      </w:r>
      <w:r w:rsidR="00B36F27" w:rsidRPr="00DF2B53">
        <w:rPr>
          <w:rFonts w:ascii="Times New Roman" w:hAnsi="Times New Roman" w:cs="Times New Roman"/>
        </w:rPr>
        <w:t xml:space="preserve"> episode</w:t>
      </w:r>
      <w:r w:rsidR="00137EF2" w:rsidRPr="00DF2B53">
        <w:rPr>
          <w:rFonts w:ascii="Times New Roman" w:hAnsi="Times New Roman" w:cs="Times New Roman"/>
        </w:rPr>
        <w:t xml:space="preserve"> of </w:t>
      </w:r>
      <w:r w:rsidR="00C93B12" w:rsidRPr="00DF2B53">
        <w:rPr>
          <w:rFonts w:ascii="Times New Roman" w:hAnsi="Times New Roman" w:cs="Times New Roman"/>
        </w:rPr>
        <w:t>‘departure from, well-established risk regulatory principles and frameworks’</w:t>
      </w:r>
      <w:r w:rsidR="00C93B12" w:rsidRPr="00DC52BD">
        <w:rPr>
          <w:rStyle w:val="FootnoteReference"/>
        </w:rPr>
        <w:footnoteReference w:id="72"/>
      </w:r>
      <w:r w:rsidR="00B36F27" w:rsidRPr="00DF2B53">
        <w:rPr>
          <w:rFonts w:ascii="Times New Roman" w:hAnsi="Times New Roman" w:cs="Times New Roman"/>
        </w:rPr>
        <w:t xml:space="preserve">, leading to </w:t>
      </w:r>
      <w:proofErr w:type="spellStart"/>
      <w:r w:rsidR="00B36F27" w:rsidRPr="00DF2B53">
        <w:rPr>
          <w:rFonts w:ascii="Times New Roman" w:hAnsi="Times New Roman" w:cs="Times New Roman"/>
        </w:rPr>
        <w:t>Matovič’s</w:t>
      </w:r>
      <w:proofErr w:type="spellEnd"/>
      <w:r w:rsidR="00B36F27" w:rsidRPr="00DF2B53">
        <w:rPr>
          <w:rFonts w:ascii="Times New Roman" w:hAnsi="Times New Roman" w:cs="Times New Roman"/>
        </w:rPr>
        <w:t xml:space="preserve"> resignation due to the widespread disapproval of his actions, is sometimes cited as a reference for ‘institutional guardrails’ operating in Slovakia,</w:t>
      </w:r>
      <w:r w:rsidR="000C0F7C" w:rsidRPr="00DC52BD">
        <w:rPr>
          <w:rStyle w:val="FootnoteReference"/>
        </w:rPr>
        <w:footnoteReference w:id="73"/>
      </w:r>
      <w:r w:rsidR="00B36F27" w:rsidRPr="00DF2B53">
        <w:rPr>
          <w:rFonts w:ascii="Times New Roman" w:hAnsi="Times New Roman" w:cs="Times New Roman"/>
        </w:rPr>
        <w:t xml:space="preserve"> </w:t>
      </w:r>
      <w:r w:rsidR="00D018E7" w:rsidRPr="00DF2B53">
        <w:rPr>
          <w:rFonts w:ascii="Times New Roman" w:hAnsi="Times New Roman" w:cs="Times New Roman"/>
        </w:rPr>
        <w:t xml:space="preserve">the </w:t>
      </w:r>
      <w:proofErr w:type="spellStart"/>
      <w:r w:rsidR="00D018E7" w:rsidRPr="00DF2B53">
        <w:rPr>
          <w:rFonts w:ascii="Times New Roman" w:hAnsi="Times New Roman" w:cs="Times New Roman"/>
        </w:rPr>
        <w:t>SoE</w:t>
      </w:r>
      <w:proofErr w:type="spellEnd"/>
      <w:r w:rsidR="00D018E7" w:rsidRPr="00DF2B53">
        <w:rPr>
          <w:rFonts w:ascii="Times New Roman" w:hAnsi="Times New Roman" w:cs="Times New Roman"/>
        </w:rPr>
        <w:t xml:space="preserve"> was not one of these; indeed, it allowed </w:t>
      </w:r>
      <w:r w:rsidR="00631B6E">
        <w:rPr>
          <w:rFonts w:ascii="Times New Roman" w:hAnsi="Times New Roman" w:cs="Times New Roman"/>
        </w:rPr>
        <w:t xml:space="preserve">simultaneous </w:t>
      </w:r>
      <w:r w:rsidR="00D018E7" w:rsidRPr="00DF2B53">
        <w:rPr>
          <w:rFonts w:ascii="Times New Roman" w:hAnsi="Times New Roman" w:cs="Times New Roman"/>
        </w:rPr>
        <w:t xml:space="preserve">overreach </w:t>
      </w:r>
      <w:r w:rsidR="003F192B" w:rsidRPr="00DF2B53">
        <w:rPr>
          <w:rFonts w:ascii="Times New Roman" w:hAnsi="Times New Roman" w:cs="Times New Roman"/>
        </w:rPr>
        <w:t>(the purchase of the Sputnik V vaccines)</w:t>
      </w:r>
      <w:r w:rsidR="00D018E7" w:rsidRPr="00DF2B53">
        <w:rPr>
          <w:rFonts w:ascii="Times New Roman" w:hAnsi="Times New Roman" w:cs="Times New Roman"/>
        </w:rPr>
        <w:t xml:space="preserve"> a</w:t>
      </w:r>
      <w:r w:rsidR="00631B6E">
        <w:rPr>
          <w:rFonts w:ascii="Times New Roman" w:hAnsi="Times New Roman" w:cs="Times New Roman"/>
        </w:rPr>
        <w:t>nd</w:t>
      </w:r>
      <w:r w:rsidR="00D018E7" w:rsidRPr="00DF2B53">
        <w:rPr>
          <w:rFonts w:ascii="Times New Roman" w:hAnsi="Times New Roman" w:cs="Times New Roman"/>
        </w:rPr>
        <w:t xml:space="preserve"> underreach</w:t>
      </w:r>
      <w:r w:rsidR="003F192B" w:rsidRPr="00DF2B53">
        <w:rPr>
          <w:rFonts w:ascii="Times New Roman" w:hAnsi="Times New Roman" w:cs="Times New Roman"/>
        </w:rPr>
        <w:t xml:space="preserve"> (the </w:t>
      </w:r>
      <w:r w:rsidR="0077427E">
        <w:rPr>
          <w:rFonts w:ascii="Times New Roman" w:hAnsi="Times New Roman" w:cs="Times New Roman"/>
        </w:rPr>
        <w:t>belated</w:t>
      </w:r>
      <w:r w:rsidR="0077427E" w:rsidRPr="00DF2B53">
        <w:rPr>
          <w:rFonts w:ascii="Times New Roman" w:hAnsi="Times New Roman" w:cs="Times New Roman"/>
        </w:rPr>
        <w:t xml:space="preserve"> </w:t>
      </w:r>
      <w:r w:rsidR="003F192B" w:rsidRPr="00DF2B53">
        <w:rPr>
          <w:rFonts w:ascii="Times New Roman" w:hAnsi="Times New Roman" w:cs="Times New Roman"/>
        </w:rPr>
        <w:t xml:space="preserve">investment into alternative, reliable vaccine types). </w:t>
      </w:r>
    </w:p>
    <w:p w14:paraId="1C128691" w14:textId="77777777" w:rsidR="00A95E4A" w:rsidRPr="00DF2B53" w:rsidRDefault="00A95E4A" w:rsidP="0024699A">
      <w:pPr>
        <w:jc w:val="both"/>
        <w:rPr>
          <w:rFonts w:ascii="Times New Roman" w:hAnsi="Times New Roman" w:cs="Times New Roman"/>
        </w:rPr>
      </w:pPr>
    </w:p>
    <w:p w14:paraId="6347A72E" w14:textId="4D36DA42" w:rsidR="00952587" w:rsidRPr="00DF2B53" w:rsidRDefault="00373BFC" w:rsidP="0024699A">
      <w:pPr>
        <w:jc w:val="both"/>
        <w:rPr>
          <w:rFonts w:ascii="Times New Roman" w:hAnsi="Times New Roman" w:cs="Times New Roman"/>
        </w:rPr>
      </w:pPr>
      <w:r>
        <w:rPr>
          <w:rFonts w:ascii="Times New Roman" w:hAnsi="Times New Roman" w:cs="Times New Roman"/>
        </w:rPr>
        <w:t>O</w:t>
      </w:r>
      <w:r w:rsidR="00A95E4A" w:rsidRPr="00DF2B53">
        <w:rPr>
          <w:rFonts w:ascii="Times New Roman" w:hAnsi="Times New Roman" w:cs="Times New Roman"/>
        </w:rPr>
        <w:t xml:space="preserve">ther factors than the leaders’ limited </w:t>
      </w:r>
      <w:r w:rsidR="00866CFC" w:rsidRPr="00DF2B53">
        <w:rPr>
          <w:rFonts w:ascii="Times New Roman" w:hAnsi="Times New Roman" w:cs="Times New Roman"/>
        </w:rPr>
        <w:t>role conceptions as democratic emergency managers justifying their choices</w:t>
      </w:r>
      <w:r>
        <w:rPr>
          <w:rFonts w:ascii="Times New Roman" w:hAnsi="Times New Roman" w:cs="Times New Roman"/>
        </w:rPr>
        <w:t xml:space="preserve"> are likely to</w:t>
      </w:r>
      <w:r w:rsidR="00866CFC" w:rsidRPr="00DF2B53">
        <w:rPr>
          <w:rFonts w:ascii="Times New Roman" w:hAnsi="Times New Roman" w:cs="Times New Roman"/>
        </w:rPr>
        <w:t xml:space="preserve"> have contributed to the</w:t>
      </w:r>
      <w:r w:rsidR="00FE1938">
        <w:rPr>
          <w:rFonts w:ascii="Times New Roman" w:hAnsi="Times New Roman" w:cs="Times New Roman"/>
        </w:rPr>
        <w:t>se</w:t>
      </w:r>
      <w:r w:rsidR="00866CFC" w:rsidRPr="00DF2B53">
        <w:rPr>
          <w:rFonts w:ascii="Times New Roman" w:hAnsi="Times New Roman" w:cs="Times New Roman"/>
        </w:rPr>
        <w:t xml:space="preserve"> failures. For example, the resistance of the opposition, particularly the conspiracy narratives of the extreme right, </w:t>
      </w:r>
      <w:r w:rsidR="008E7F37" w:rsidRPr="00DF2B53">
        <w:rPr>
          <w:rFonts w:ascii="Times New Roman" w:hAnsi="Times New Roman" w:cs="Times New Roman"/>
          <w:color w:val="000000"/>
        </w:rPr>
        <w:t>constrained</w:t>
      </w:r>
      <w:r w:rsidR="00866CFC" w:rsidRPr="00DF2B53">
        <w:rPr>
          <w:rFonts w:ascii="Times New Roman" w:hAnsi="Times New Roman" w:cs="Times New Roman"/>
          <w:color w:val="000000"/>
        </w:rPr>
        <w:t xml:space="preserve"> government capacity to implement restrictive measures and induced non-compliance.</w:t>
      </w:r>
      <w:r w:rsidR="00866CFC" w:rsidRPr="00DC52BD">
        <w:rPr>
          <w:rStyle w:val="FootnoteReference"/>
        </w:rPr>
        <w:footnoteReference w:id="74"/>
      </w:r>
      <w:r w:rsidR="00F751B5" w:rsidRPr="00DF2B53">
        <w:rPr>
          <w:rFonts w:ascii="Times New Roman" w:hAnsi="Times New Roman" w:cs="Times New Roman"/>
          <w:color w:val="000000"/>
        </w:rPr>
        <w:t xml:space="preserve"> Still, an overarching endogenous </w:t>
      </w:r>
      <w:r w:rsidR="00D6396D" w:rsidRPr="00DF2B53">
        <w:rPr>
          <w:rFonts w:ascii="Times New Roman" w:hAnsi="Times New Roman" w:cs="Times New Roman"/>
        </w:rPr>
        <w:t xml:space="preserve">deficit </w:t>
      </w:r>
      <w:r w:rsidR="00D6396D" w:rsidRPr="00DF2B53">
        <w:rPr>
          <w:rFonts w:ascii="Times New Roman" w:hAnsi="Times New Roman" w:cs="Times New Roman"/>
          <w:i/>
          <w:iCs/>
        </w:rPr>
        <w:t xml:space="preserve">both </w:t>
      </w:r>
      <w:r w:rsidR="00D6396D" w:rsidRPr="00DF2B53">
        <w:rPr>
          <w:rFonts w:ascii="Times New Roman" w:hAnsi="Times New Roman" w:cs="Times New Roman"/>
        </w:rPr>
        <w:t>in relation to measures signalling underreach and overreach</w:t>
      </w:r>
      <w:r w:rsidR="00F751B5" w:rsidRPr="00DF2B53">
        <w:rPr>
          <w:rFonts w:ascii="Times New Roman" w:hAnsi="Times New Roman" w:cs="Times New Roman"/>
        </w:rPr>
        <w:t xml:space="preserve"> </w:t>
      </w:r>
      <w:r w:rsidR="00D6396D" w:rsidRPr="00DF2B53">
        <w:rPr>
          <w:rFonts w:ascii="Times New Roman" w:hAnsi="Times New Roman" w:cs="Times New Roman"/>
        </w:rPr>
        <w:t>is the lack of justifications provided for the decisions and choices made by the executive.</w:t>
      </w:r>
      <w:r w:rsidR="00AE35A2" w:rsidRPr="00DC52BD">
        <w:rPr>
          <w:rStyle w:val="FootnoteReference"/>
        </w:rPr>
        <w:footnoteReference w:id="75"/>
      </w:r>
      <w:r w:rsidR="00D6396D" w:rsidRPr="00DF2B53">
        <w:rPr>
          <w:rFonts w:ascii="Times New Roman" w:hAnsi="Times New Roman" w:cs="Times New Roman"/>
        </w:rPr>
        <w:t xml:space="preserve"> </w:t>
      </w:r>
      <w:r w:rsidR="00F43F42" w:rsidRPr="00DF2B53">
        <w:rPr>
          <w:rFonts w:ascii="Times New Roman" w:hAnsi="Times New Roman" w:cs="Times New Roman"/>
        </w:rPr>
        <w:t xml:space="preserve">This cannot be excused by the ‘state of panic’ in which the executive faced limited information and serious pressure to act. </w:t>
      </w:r>
      <w:r w:rsidR="00D6396D" w:rsidRPr="00DF2B53">
        <w:rPr>
          <w:rFonts w:ascii="Times New Roman" w:hAnsi="Times New Roman" w:cs="Times New Roman"/>
        </w:rPr>
        <w:t>As Greene points out,</w:t>
      </w:r>
      <w:r w:rsidR="00F43F42" w:rsidRPr="00DF2B53">
        <w:rPr>
          <w:rFonts w:ascii="Times New Roman" w:hAnsi="Times New Roman" w:cs="Times New Roman"/>
        </w:rPr>
        <w:t xml:space="preserve"> ‘the requirement for justification should not be abdicated. </w:t>
      </w:r>
      <w:r w:rsidR="008E7F37" w:rsidRPr="00DF2B53">
        <w:rPr>
          <w:rFonts w:ascii="Times New Roman" w:hAnsi="Times New Roman" w:cs="Times New Roman"/>
        </w:rPr>
        <w:t>[It]</w:t>
      </w:r>
      <w:r w:rsidR="00F43F42" w:rsidRPr="00DF2B53">
        <w:rPr>
          <w:rFonts w:ascii="Times New Roman" w:hAnsi="Times New Roman" w:cs="Times New Roman"/>
        </w:rPr>
        <w:t xml:space="preserve"> need not hamper an expedient response. The necessity of emergency powers must continue to be a live issue not simply </w:t>
      </w:r>
      <w:proofErr w:type="gramStart"/>
      <w:r w:rsidR="00F43F42" w:rsidRPr="00DF2B53">
        <w:rPr>
          <w:rFonts w:ascii="Times New Roman" w:hAnsi="Times New Roman" w:cs="Times New Roman"/>
        </w:rPr>
        <w:t>at the moment</w:t>
      </w:r>
      <w:proofErr w:type="gramEnd"/>
      <w:r w:rsidR="00F43F42" w:rsidRPr="00DF2B53">
        <w:rPr>
          <w:rFonts w:ascii="Times New Roman" w:hAnsi="Times New Roman" w:cs="Times New Roman"/>
        </w:rPr>
        <w:t xml:space="preserve"> of their enactment but also when the powers are already in existence.’</w:t>
      </w:r>
      <w:r w:rsidR="00F43F42" w:rsidRPr="00DC52BD">
        <w:rPr>
          <w:rStyle w:val="FootnoteReference"/>
        </w:rPr>
        <w:footnoteReference w:id="76"/>
      </w:r>
    </w:p>
    <w:p w14:paraId="5075F1E8" w14:textId="77777777" w:rsidR="001E7EE2" w:rsidRPr="00DF2B53" w:rsidRDefault="001E7EE2" w:rsidP="00427DC6">
      <w:pPr>
        <w:rPr>
          <w:rFonts w:ascii="Times New Roman" w:hAnsi="Times New Roman" w:cs="Times New Roman"/>
        </w:rPr>
      </w:pPr>
    </w:p>
    <w:p w14:paraId="5FC30F5C" w14:textId="460C003C" w:rsidR="00845E7D" w:rsidRPr="00DF2B53" w:rsidRDefault="005D1194" w:rsidP="000053F0">
      <w:pPr>
        <w:jc w:val="both"/>
        <w:rPr>
          <w:rFonts w:ascii="Times New Roman" w:hAnsi="Times New Roman" w:cs="Times New Roman"/>
        </w:rPr>
      </w:pPr>
      <w:r>
        <w:rPr>
          <w:rFonts w:ascii="Times New Roman" w:hAnsi="Times New Roman" w:cs="Times New Roman"/>
        </w:rPr>
        <w:lastRenderedPageBreak/>
        <w:t>The j</w:t>
      </w:r>
      <w:r w:rsidR="00D6396D" w:rsidRPr="00DF2B53">
        <w:rPr>
          <w:rFonts w:ascii="Times New Roman" w:hAnsi="Times New Roman" w:cs="Times New Roman"/>
        </w:rPr>
        <w:t xml:space="preserve">ustificatory lacunae </w:t>
      </w:r>
      <w:r>
        <w:rPr>
          <w:rFonts w:ascii="Times New Roman" w:hAnsi="Times New Roman" w:cs="Times New Roman"/>
        </w:rPr>
        <w:t>manifest in</w:t>
      </w:r>
      <w:r w:rsidR="00D6396D" w:rsidRPr="00DF2B53">
        <w:rPr>
          <w:rFonts w:ascii="Times New Roman" w:hAnsi="Times New Roman" w:cs="Times New Roman"/>
        </w:rPr>
        <w:t xml:space="preserve"> the requests for prolongation of the </w:t>
      </w:r>
      <w:proofErr w:type="spellStart"/>
      <w:r w:rsidR="00D6396D" w:rsidRPr="00DF2B53">
        <w:rPr>
          <w:rFonts w:ascii="Times New Roman" w:hAnsi="Times New Roman" w:cs="Times New Roman"/>
        </w:rPr>
        <w:t>SoE</w:t>
      </w:r>
      <w:proofErr w:type="spellEnd"/>
      <w:r w:rsidR="00D6396D" w:rsidRPr="00DF2B53">
        <w:rPr>
          <w:rFonts w:ascii="Times New Roman" w:hAnsi="Times New Roman" w:cs="Times New Roman"/>
        </w:rPr>
        <w:t>. Three of these were submitted by the executive to the parliament a</w:t>
      </w:r>
      <w:r w:rsidR="00266EA7" w:rsidRPr="00DF2B53">
        <w:rPr>
          <w:rFonts w:ascii="Times New Roman" w:hAnsi="Times New Roman" w:cs="Times New Roman"/>
        </w:rPr>
        <w:t>fter the enactment of the amendment</w:t>
      </w:r>
      <w:r w:rsidR="006602FC" w:rsidRPr="00DF2B53">
        <w:rPr>
          <w:rFonts w:ascii="Times New Roman" w:hAnsi="Times New Roman" w:cs="Times New Roman"/>
        </w:rPr>
        <w:t xml:space="preserve"> of the </w:t>
      </w:r>
      <w:r w:rsidR="005F40B2">
        <w:rPr>
          <w:rFonts w:ascii="Times New Roman" w:hAnsi="Times New Roman" w:cs="Times New Roman"/>
        </w:rPr>
        <w:t>constitutional act</w:t>
      </w:r>
      <w:r w:rsidR="005F40B2" w:rsidRPr="00DF2B53">
        <w:rPr>
          <w:rFonts w:ascii="Times New Roman" w:hAnsi="Times New Roman" w:cs="Times New Roman"/>
        </w:rPr>
        <w:t xml:space="preserve"> </w:t>
      </w:r>
      <w:r w:rsidR="00266EA7" w:rsidRPr="00DF2B53">
        <w:rPr>
          <w:rFonts w:ascii="Times New Roman" w:hAnsi="Times New Roman" w:cs="Times New Roman"/>
        </w:rPr>
        <w:t>allowing the extension</w:t>
      </w:r>
      <w:r w:rsidR="006602FC" w:rsidRPr="00DF2B53">
        <w:rPr>
          <w:rFonts w:ascii="Times New Roman" w:hAnsi="Times New Roman" w:cs="Times New Roman"/>
        </w:rPr>
        <w:t xml:space="preserve"> of the </w:t>
      </w:r>
      <w:proofErr w:type="spellStart"/>
      <w:r w:rsidR="006602FC" w:rsidRPr="00DF2B53">
        <w:rPr>
          <w:rFonts w:ascii="Times New Roman" w:hAnsi="Times New Roman" w:cs="Times New Roman"/>
        </w:rPr>
        <w:t>SoE</w:t>
      </w:r>
      <w:proofErr w:type="spellEnd"/>
      <w:r w:rsidR="00266EA7" w:rsidRPr="00DF2B53">
        <w:rPr>
          <w:rFonts w:ascii="Times New Roman" w:hAnsi="Times New Roman" w:cs="Times New Roman"/>
        </w:rPr>
        <w:t xml:space="preserve"> provided that the parliament endorses it</w:t>
      </w:r>
      <w:r w:rsidR="00275A7E" w:rsidRPr="00DF2B53">
        <w:rPr>
          <w:rFonts w:ascii="Times New Roman" w:hAnsi="Times New Roman" w:cs="Times New Roman"/>
        </w:rPr>
        <w:t xml:space="preserve"> (Table 1)</w:t>
      </w:r>
      <w:r w:rsidR="00D6396D" w:rsidRPr="00DF2B53">
        <w:rPr>
          <w:rFonts w:ascii="Times New Roman" w:hAnsi="Times New Roman" w:cs="Times New Roman"/>
        </w:rPr>
        <w:t>. However, the</w:t>
      </w:r>
      <w:r w:rsidR="00082CC0" w:rsidRPr="00DF2B53">
        <w:rPr>
          <w:rFonts w:ascii="Times New Roman" w:hAnsi="Times New Roman" w:cs="Times New Roman"/>
        </w:rPr>
        <w:t>y</w:t>
      </w:r>
      <w:r w:rsidR="005F40B2">
        <w:rPr>
          <w:rFonts w:ascii="Times New Roman" w:hAnsi="Times New Roman" w:cs="Times New Roman"/>
        </w:rPr>
        <w:t xml:space="preserve"> considerably</w:t>
      </w:r>
      <w:r w:rsidR="00D6396D" w:rsidRPr="00DF2B53">
        <w:rPr>
          <w:rFonts w:ascii="Times New Roman" w:hAnsi="Times New Roman" w:cs="Times New Roman"/>
        </w:rPr>
        <w:t xml:space="preserve"> </w:t>
      </w:r>
      <w:r w:rsidR="00266EA7" w:rsidRPr="00DF2B53">
        <w:rPr>
          <w:rFonts w:ascii="Times New Roman" w:hAnsi="Times New Roman" w:cs="Times New Roman"/>
        </w:rPr>
        <w:t xml:space="preserve">differ from each other. </w:t>
      </w:r>
      <w:r w:rsidR="000E7129" w:rsidRPr="00DF2B53">
        <w:rPr>
          <w:rFonts w:ascii="Times New Roman" w:hAnsi="Times New Roman" w:cs="Times New Roman"/>
        </w:rPr>
        <w:t xml:space="preserve">The first request, </w:t>
      </w:r>
      <w:r w:rsidR="008E7F37" w:rsidRPr="00DF2B53">
        <w:rPr>
          <w:rFonts w:ascii="Times New Roman" w:hAnsi="Times New Roman" w:cs="Times New Roman"/>
        </w:rPr>
        <w:t>approved in</w:t>
      </w:r>
      <w:r w:rsidR="000E7129" w:rsidRPr="00DF2B53">
        <w:rPr>
          <w:rFonts w:ascii="Times New Roman" w:hAnsi="Times New Roman" w:cs="Times New Roman"/>
        </w:rPr>
        <w:t xml:space="preserve"> January 2021</w:t>
      </w:r>
      <w:r w:rsidR="001E61A5" w:rsidRPr="00DF2B53">
        <w:rPr>
          <w:rFonts w:ascii="Times New Roman" w:hAnsi="Times New Roman" w:cs="Times New Roman"/>
        </w:rPr>
        <w:t xml:space="preserve">, </w:t>
      </w:r>
      <w:r w:rsidR="00845E7D" w:rsidRPr="00DF2B53">
        <w:rPr>
          <w:rFonts w:ascii="Times New Roman" w:hAnsi="Times New Roman" w:cs="Times New Roman"/>
        </w:rPr>
        <w:t>has</w:t>
      </w:r>
      <w:r w:rsidR="00082CC0" w:rsidRPr="00DF2B53">
        <w:rPr>
          <w:rFonts w:ascii="Times New Roman" w:hAnsi="Times New Roman" w:cs="Times New Roman"/>
        </w:rPr>
        <w:t xml:space="preserve"> merely</w:t>
      </w:r>
      <w:r w:rsidR="00845E7D" w:rsidRPr="00DF2B53">
        <w:rPr>
          <w:rFonts w:ascii="Times New Roman" w:hAnsi="Times New Roman" w:cs="Times New Roman"/>
        </w:rPr>
        <w:t xml:space="preserve"> two pages.</w:t>
      </w:r>
      <w:r w:rsidR="001E1BF2" w:rsidRPr="00DC52BD">
        <w:rPr>
          <w:rStyle w:val="FootnoteReference"/>
        </w:rPr>
        <w:footnoteReference w:id="77"/>
      </w:r>
      <w:r w:rsidR="00845E7D" w:rsidRPr="00DF2B53">
        <w:rPr>
          <w:rFonts w:ascii="Times New Roman" w:hAnsi="Times New Roman" w:cs="Times New Roman"/>
        </w:rPr>
        <w:t xml:space="preserve"> The executive listed medical conditions, such as the increase of the number of cases during the Christmas holidays and the emergence of new variants of the virus, the overwhelming of the hospitals and the need for ventilators. The necessity is justified so that, </w:t>
      </w:r>
      <w:r w:rsidR="00845E7D" w:rsidRPr="00DF2B53">
        <w:rPr>
          <w:rFonts w:ascii="Times New Roman" w:hAnsi="Times New Roman" w:cs="Times New Roman"/>
          <w:i/>
          <w:iCs/>
        </w:rPr>
        <w:t xml:space="preserve">among others, </w:t>
      </w:r>
      <w:r w:rsidR="00845E7D" w:rsidRPr="00DF2B53">
        <w:rPr>
          <w:rFonts w:ascii="Times New Roman" w:hAnsi="Times New Roman" w:cs="Times New Roman"/>
        </w:rPr>
        <w:t>job duty, the mandating of hospitals to prioriti</w:t>
      </w:r>
      <w:r w:rsidR="00FD7540" w:rsidRPr="00DF2B53">
        <w:rPr>
          <w:rFonts w:ascii="Times New Roman" w:hAnsi="Times New Roman" w:cs="Times New Roman"/>
        </w:rPr>
        <w:t>s</w:t>
      </w:r>
      <w:r w:rsidR="00845E7D" w:rsidRPr="00DF2B53">
        <w:rPr>
          <w:rFonts w:ascii="Times New Roman" w:hAnsi="Times New Roman" w:cs="Times New Roman"/>
        </w:rPr>
        <w:t>e COVID-19 cases as well as restrictions on the freedom of movement can be sustained. The economic mobili</w:t>
      </w:r>
      <w:r w:rsidR="008E7F37" w:rsidRPr="00DF2B53">
        <w:rPr>
          <w:rFonts w:ascii="Times New Roman" w:hAnsi="Times New Roman" w:cs="Times New Roman"/>
        </w:rPr>
        <w:t>s</w:t>
      </w:r>
      <w:r w:rsidR="00845E7D" w:rsidRPr="00DF2B53">
        <w:rPr>
          <w:rFonts w:ascii="Times New Roman" w:hAnsi="Times New Roman" w:cs="Times New Roman"/>
        </w:rPr>
        <w:t>ation generated emergency medical centr</w:t>
      </w:r>
      <w:r w:rsidR="008E7F37" w:rsidRPr="00DF2B53">
        <w:rPr>
          <w:rFonts w:ascii="Times New Roman" w:hAnsi="Times New Roman" w:cs="Times New Roman"/>
        </w:rPr>
        <w:t>e</w:t>
      </w:r>
      <w:r w:rsidR="00845E7D" w:rsidRPr="00DF2B53">
        <w:rPr>
          <w:rFonts w:ascii="Times New Roman" w:hAnsi="Times New Roman" w:cs="Times New Roman"/>
        </w:rPr>
        <w:t>s</w:t>
      </w:r>
      <w:r w:rsidR="005F40B2">
        <w:rPr>
          <w:rFonts w:ascii="Times New Roman" w:hAnsi="Times New Roman" w:cs="Times New Roman"/>
        </w:rPr>
        <w:t xml:space="preserve"> for</w:t>
      </w:r>
      <w:r w:rsidR="00845E7D" w:rsidRPr="00DF2B53">
        <w:rPr>
          <w:rFonts w:ascii="Times New Roman" w:hAnsi="Times New Roman" w:cs="Times New Roman"/>
        </w:rPr>
        <w:t xml:space="preserve"> </w:t>
      </w:r>
      <w:r w:rsidR="001E1BF2" w:rsidRPr="00DF2B53">
        <w:rPr>
          <w:rFonts w:ascii="Times New Roman" w:hAnsi="Times New Roman" w:cs="Times New Roman"/>
        </w:rPr>
        <w:t>vaccination of the population.</w:t>
      </w:r>
    </w:p>
    <w:p w14:paraId="18EE0002" w14:textId="77777777" w:rsidR="00275A7E" w:rsidRPr="00DF2B53" w:rsidRDefault="00275A7E" w:rsidP="001E1BF2">
      <w:pPr>
        <w:jc w:val="both"/>
        <w:rPr>
          <w:rFonts w:ascii="Times New Roman" w:hAnsi="Times New Roman" w:cs="Times New Roman"/>
        </w:rPr>
      </w:pPr>
    </w:p>
    <w:p w14:paraId="0CFE5161" w14:textId="52174C43" w:rsidR="001E1BF2" w:rsidRPr="00DF2B53" w:rsidRDefault="001E1BF2" w:rsidP="001E1BF2">
      <w:pPr>
        <w:jc w:val="both"/>
        <w:rPr>
          <w:rFonts w:ascii="Times New Roman" w:hAnsi="Times New Roman" w:cs="Times New Roman"/>
        </w:rPr>
      </w:pPr>
      <w:r w:rsidRPr="00DF2B53">
        <w:rPr>
          <w:rFonts w:ascii="Times New Roman" w:hAnsi="Times New Roman" w:cs="Times New Roman"/>
        </w:rPr>
        <w:t>This brief justification (a) provides only an indicative list of restrictions instead of listing them in detail, leaving the government’s intentions ‘in the shadows’</w:t>
      </w:r>
      <w:r w:rsidR="00AE34FE" w:rsidRPr="00DF2B53">
        <w:rPr>
          <w:rFonts w:ascii="Times New Roman" w:hAnsi="Times New Roman" w:cs="Times New Roman"/>
        </w:rPr>
        <w:t>;</w:t>
      </w:r>
      <w:r w:rsidRPr="00DF2B53">
        <w:rPr>
          <w:rFonts w:ascii="Times New Roman" w:hAnsi="Times New Roman" w:cs="Times New Roman"/>
        </w:rPr>
        <w:t xml:space="preserve"> (b) indicates concerns with the spread of the virus associated with the lack of planning and preparation for alternative scenarios, which was </w:t>
      </w:r>
      <w:r w:rsidR="00BE22DF">
        <w:rPr>
          <w:rFonts w:ascii="Times New Roman" w:hAnsi="Times New Roman" w:cs="Times New Roman"/>
        </w:rPr>
        <w:t xml:space="preserve">primarily </w:t>
      </w:r>
      <w:r w:rsidRPr="00DF2B53">
        <w:rPr>
          <w:rFonts w:ascii="Times New Roman" w:hAnsi="Times New Roman" w:cs="Times New Roman"/>
        </w:rPr>
        <w:t>the executive’s duty</w:t>
      </w:r>
      <w:r w:rsidR="00BE22DF">
        <w:rPr>
          <w:rFonts w:ascii="Times New Roman" w:hAnsi="Times New Roman" w:cs="Times New Roman"/>
        </w:rPr>
        <w:t>,</w:t>
      </w:r>
      <w:r w:rsidR="00082CC0" w:rsidRPr="00DF2B53">
        <w:rPr>
          <w:rFonts w:ascii="Times New Roman" w:hAnsi="Times New Roman" w:cs="Times New Roman"/>
        </w:rPr>
        <w:t xml:space="preserve"> and indirectly confirms executive </w:t>
      </w:r>
      <w:r w:rsidR="00082CC0" w:rsidRPr="00DF2B53">
        <w:rPr>
          <w:rFonts w:ascii="Times New Roman" w:hAnsi="Times New Roman" w:cs="Times New Roman"/>
          <w:i/>
          <w:iCs/>
        </w:rPr>
        <w:t xml:space="preserve">underreach </w:t>
      </w:r>
      <w:r w:rsidR="00082CC0" w:rsidRPr="00DF2B53">
        <w:rPr>
          <w:rFonts w:ascii="Times New Roman" w:hAnsi="Times New Roman" w:cs="Times New Roman"/>
        </w:rPr>
        <w:t>during the previous period</w:t>
      </w:r>
      <w:r w:rsidR="00AE34FE" w:rsidRPr="00DF2B53">
        <w:rPr>
          <w:rFonts w:ascii="Times New Roman" w:hAnsi="Times New Roman" w:cs="Times New Roman"/>
        </w:rPr>
        <w:t>;</w:t>
      </w:r>
      <w:r w:rsidRPr="00DF2B53">
        <w:rPr>
          <w:rFonts w:ascii="Times New Roman" w:hAnsi="Times New Roman" w:cs="Times New Roman"/>
        </w:rPr>
        <w:t xml:space="preserve"> (c) does not demonstrate to what extent, for economic mobili</w:t>
      </w:r>
      <w:r w:rsidR="00AE34FE" w:rsidRPr="00DF2B53">
        <w:rPr>
          <w:rFonts w:ascii="Times New Roman" w:hAnsi="Times New Roman" w:cs="Times New Roman"/>
        </w:rPr>
        <w:t>s</w:t>
      </w:r>
      <w:r w:rsidRPr="00DF2B53">
        <w:rPr>
          <w:rFonts w:ascii="Times New Roman" w:hAnsi="Times New Roman" w:cs="Times New Roman"/>
        </w:rPr>
        <w:t xml:space="preserve">ation, the </w:t>
      </w:r>
      <w:proofErr w:type="spellStart"/>
      <w:r w:rsidR="00785422">
        <w:rPr>
          <w:rFonts w:ascii="Times New Roman" w:hAnsi="Times New Roman" w:cs="Times New Roman"/>
        </w:rPr>
        <w:t>SoE</w:t>
      </w:r>
      <w:proofErr w:type="spellEnd"/>
      <w:r w:rsidRPr="00DF2B53">
        <w:rPr>
          <w:rFonts w:ascii="Times New Roman" w:hAnsi="Times New Roman" w:cs="Times New Roman"/>
        </w:rPr>
        <w:t xml:space="preserve"> is also necessary (these are two different legal regimes in Slovakia, with economic mobili</w:t>
      </w:r>
      <w:r w:rsidR="00AE34FE" w:rsidRPr="00DF2B53">
        <w:rPr>
          <w:rFonts w:ascii="Times New Roman" w:hAnsi="Times New Roman" w:cs="Times New Roman"/>
        </w:rPr>
        <w:t>s</w:t>
      </w:r>
      <w:r w:rsidRPr="00DF2B53">
        <w:rPr>
          <w:rFonts w:ascii="Times New Roman" w:hAnsi="Times New Roman" w:cs="Times New Roman"/>
        </w:rPr>
        <w:t xml:space="preserve">ation not amounting to a </w:t>
      </w:r>
      <w:proofErr w:type="spellStart"/>
      <w:r w:rsidR="00785422">
        <w:rPr>
          <w:rFonts w:ascii="Times New Roman" w:hAnsi="Times New Roman" w:cs="Times New Roman"/>
        </w:rPr>
        <w:t>SoE</w:t>
      </w:r>
      <w:proofErr w:type="spellEnd"/>
      <w:r w:rsidRPr="00DF2B53">
        <w:rPr>
          <w:rFonts w:ascii="Times New Roman" w:hAnsi="Times New Roman" w:cs="Times New Roman"/>
        </w:rPr>
        <w:t xml:space="preserve">). </w:t>
      </w:r>
    </w:p>
    <w:p w14:paraId="28BF3921" w14:textId="4AFF6FBE" w:rsidR="00275A7E" w:rsidRPr="00DF2B53" w:rsidRDefault="00275A7E" w:rsidP="001E1BF2">
      <w:pPr>
        <w:jc w:val="both"/>
        <w:rPr>
          <w:rFonts w:ascii="Times New Roman" w:hAnsi="Times New Roman" w:cs="Times New Roman"/>
        </w:rPr>
      </w:pPr>
    </w:p>
    <w:tbl>
      <w:tblPr>
        <w:tblStyle w:val="TableGrid"/>
        <w:tblW w:w="0" w:type="auto"/>
        <w:tblLook w:val="04A0" w:firstRow="1" w:lastRow="0" w:firstColumn="1" w:lastColumn="0" w:noHBand="0" w:noVBand="1"/>
      </w:tblPr>
      <w:tblGrid>
        <w:gridCol w:w="1431"/>
        <w:gridCol w:w="1495"/>
        <w:gridCol w:w="1480"/>
        <w:gridCol w:w="1469"/>
        <w:gridCol w:w="1672"/>
        <w:gridCol w:w="1463"/>
      </w:tblGrid>
      <w:tr w:rsidR="00A00DCA" w:rsidRPr="00DF2B53" w14:paraId="7064FFD8" w14:textId="77777777" w:rsidTr="00F87656">
        <w:tc>
          <w:tcPr>
            <w:tcW w:w="1501" w:type="dxa"/>
            <w:shd w:val="clear" w:color="auto" w:fill="000000" w:themeFill="text1"/>
          </w:tcPr>
          <w:p w14:paraId="6602E841" w14:textId="77777777" w:rsidR="00275A7E" w:rsidRPr="00DF2B53" w:rsidRDefault="00275A7E" w:rsidP="00F87656">
            <w:pPr>
              <w:jc w:val="both"/>
              <w:rPr>
                <w:rFonts w:ascii="Times New Roman" w:hAnsi="Times New Roman" w:cs="Times New Roman"/>
              </w:rPr>
            </w:pPr>
            <w:r w:rsidRPr="00DF2B53">
              <w:rPr>
                <w:rFonts w:ascii="Times New Roman" w:hAnsi="Times New Roman" w:cs="Times New Roman"/>
              </w:rPr>
              <w:t>Request no.</w:t>
            </w:r>
          </w:p>
        </w:tc>
        <w:tc>
          <w:tcPr>
            <w:tcW w:w="1501" w:type="dxa"/>
            <w:shd w:val="clear" w:color="auto" w:fill="000000" w:themeFill="text1"/>
          </w:tcPr>
          <w:p w14:paraId="1894F183" w14:textId="77777777" w:rsidR="00275A7E" w:rsidRPr="00DF2B53" w:rsidRDefault="00275A7E" w:rsidP="00F87656">
            <w:pPr>
              <w:jc w:val="both"/>
              <w:rPr>
                <w:rFonts w:ascii="Times New Roman" w:hAnsi="Times New Roman" w:cs="Times New Roman"/>
              </w:rPr>
            </w:pPr>
            <w:r w:rsidRPr="00DF2B53">
              <w:rPr>
                <w:rFonts w:ascii="Times New Roman" w:hAnsi="Times New Roman" w:cs="Times New Roman"/>
              </w:rPr>
              <w:t>Executive approval date</w:t>
            </w:r>
          </w:p>
        </w:tc>
        <w:tc>
          <w:tcPr>
            <w:tcW w:w="1502" w:type="dxa"/>
            <w:shd w:val="clear" w:color="auto" w:fill="000000" w:themeFill="text1"/>
          </w:tcPr>
          <w:p w14:paraId="2501F7A6" w14:textId="6D1617CE" w:rsidR="00275A7E" w:rsidRPr="00DF2B53" w:rsidRDefault="00275A7E" w:rsidP="00F87656">
            <w:pPr>
              <w:jc w:val="both"/>
              <w:rPr>
                <w:rFonts w:ascii="Times New Roman" w:hAnsi="Times New Roman" w:cs="Times New Roman"/>
              </w:rPr>
            </w:pPr>
            <w:r w:rsidRPr="00DF2B53">
              <w:rPr>
                <w:rFonts w:ascii="Times New Roman" w:hAnsi="Times New Roman" w:cs="Times New Roman"/>
              </w:rPr>
              <w:t>Submission date</w:t>
            </w:r>
            <w:r w:rsidR="00AE34FE" w:rsidRPr="00DF2B53">
              <w:rPr>
                <w:rFonts w:ascii="Times New Roman" w:hAnsi="Times New Roman" w:cs="Times New Roman"/>
              </w:rPr>
              <w:t xml:space="preserve"> to </w:t>
            </w:r>
            <w:r w:rsidR="00645672" w:rsidRPr="00DF2B53">
              <w:rPr>
                <w:rFonts w:ascii="Times New Roman" w:hAnsi="Times New Roman" w:cs="Times New Roman"/>
              </w:rPr>
              <w:t>p</w:t>
            </w:r>
            <w:r w:rsidR="00A00DCA" w:rsidRPr="00DF2B53">
              <w:rPr>
                <w:rFonts w:ascii="Times New Roman" w:hAnsi="Times New Roman" w:cs="Times New Roman"/>
              </w:rPr>
              <w:t>arliament</w:t>
            </w:r>
          </w:p>
        </w:tc>
        <w:tc>
          <w:tcPr>
            <w:tcW w:w="1502" w:type="dxa"/>
            <w:shd w:val="clear" w:color="auto" w:fill="000000" w:themeFill="text1"/>
          </w:tcPr>
          <w:p w14:paraId="5786529A" w14:textId="76C2F239" w:rsidR="00275A7E" w:rsidRPr="00DF2B53" w:rsidRDefault="00A00DCA" w:rsidP="00F87656">
            <w:pPr>
              <w:jc w:val="both"/>
              <w:rPr>
                <w:rFonts w:ascii="Times New Roman" w:hAnsi="Times New Roman" w:cs="Times New Roman"/>
              </w:rPr>
            </w:pPr>
            <w:r w:rsidRPr="00DF2B53">
              <w:rPr>
                <w:rFonts w:ascii="Times New Roman" w:hAnsi="Times New Roman" w:cs="Times New Roman"/>
              </w:rPr>
              <w:t>Parliament d</w:t>
            </w:r>
            <w:r w:rsidR="00275A7E" w:rsidRPr="00DF2B53">
              <w:rPr>
                <w:rFonts w:ascii="Times New Roman" w:hAnsi="Times New Roman" w:cs="Times New Roman"/>
              </w:rPr>
              <w:t>ecision date</w:t>
            </w:r>
          </w:p>
        </w:tc>
        <w:tc>
          <w:tcPr>
            <w:tcW w:w="1502" w:type="dxa"/>
            <w:shd w:val="clear" w:color="auto" w:fill="000000" w:themeFill="text1"/>
          </w:tcPr>
          <w:p w14:paraId="571BB9BB" w14:textId="02A387B3" w:rsidR="00275A7E" w:rsidRPr="00A14EB2" w:rsidRDefault="00A00DCA" w:rsidP="00F87656">
            <w:pPr>
              <w:jc w:val="both"/>
              <w:rPr>
                <w:rFonts w:ascii="Times New Roman" w:hAnsi="Times New Roman" w:cs="Times New Roman"/>
                <w:lang w:val="de-DE"/>
              </w:rPr>
            </w:pPr>
            <w:r w:rsidRPr="00A14EB2">
              <w:rPr>
                <w:rFonts w:ascii="Times New Roman" w:hAnsi="Times New Roman" w:cs="Times New Roman"/>
                <w:lang w:val="de-DE"/>
              </w:rPr>
              <w:t>Parliament v</w:t>
            </w:r>
            <w:r w:rsidR="00275A7E" w:rsidRPr="00A14EB2">
              <w:rPr>
                <w:rFonts w:ascii="Times New Roman" w:hAnsi="Times New Roman" w:cs="Times New Roman"/>
                <w:lang w:val="de-DE"/>
              </w:rPr>
              <w:t>ote (f/ag/abst/nv)</w:t>
            </w:r>
            <w:r w:rsidR="00275A7E" w:rsidRPr="00DC52BD">
              <w:rPr>
                <w:rStyle w:val="FootnoteReference"/>
              </w:rPr>
              <w:footnoteReference w:id="78"/>
            </w:r>
          </w:p>
        </w:tc>
        <w:tc>
          <w:tcPr>
            <w:tcW w:w="1502" w:type="dxa"/>
            <w:shd w:val="clear" w:color="auto" w:fill="000000" w:themeFill="text1"/>
          </w:tcPr>
          <w:p w14:paraId="5DB12854" w14:textId="48154209" w:rsidR="00275A7E" w:rsidRPr="00DF2B53" w:rsidRDefault="00A00DCA" w:rsidP="00F87656">
            <w:pPr>
              <w:jc w:val="both"/>
              <w:rPr>
                <w:rFonts w:ascii="Times New Roman" w:hAnsi="Times New Roman" w:cs="Times New Roman"/>
              </w:rPr>
            </w:pPr>
            <w:r w:rsidRPr="00DF2B53">
              <w:rPr>
                <w:rFonts w:ascii="Times New Roman" w:hAnsi="Times New Roman" w:cs="Times New Roman"/>
              </w:rPr>
              <w:t>Document l</w:t>
            </w:r>
            <w:r w:rsidR="00275A7E" w:rsidRPr="00DF2B53">
              <w:rPr>
                <w:rFonts w:ascii="Times New Roman" w:hAnsi="Times New Roman" w:cs="Times New Roman"/>
              </w:rPr>
              <w:t>ength</w:t>
            </w:r>
          </w:p>
        </w:tc>
      </w:tr>
      <w:tr w:rsidR="00A00DCA" w:rsidRPr="00DF2B53" w14:paraId="64E98B5C" w14:textId="77777777" w:rsidTr="00F87656">
        <w:tc>
          <w:tcPr>
            <w:tcW w:w="1501" w:type="dxa"/>
          </w:tcPr>
          <w:p w14:paraId="6DB7FFCC" w14:textId="77777777" w:rsidR="00275A7E" w:rsidRPr="00DF2B53" w:rsidRDefault="00275A7E" w:rsidP="00F87656">
            <w:pPr>
              <w:jc w:val="both"/>
              <w:rPr>
                <w:rFonts w:ascii="Times New Roman" w:hAnsi="Times New Roman" w:cs="Times New Roman"/>
              </w:rPr>
            </w:pPr>
            <w:r w:rsidRPr="00DF2B53">
              <w:rPr>
                <w:rFonts w:ascii="Times New Roman" w:hAnsi="Times New Roman" w:cs="Times New Roman"/>
              </w:rPr>
              <w:t>1</w:t>
            </w:r>
          </w:p>
        </w:tc>
        <w:tc>
          <w:tcPr>
            <w:tcW w:w="1501" w:type="dxa"/>
          </w:tcPr>
          <w:p w14:paraId="46DD188A" w14:textId="76416AD9" w:rsidR="00275A7E" w:rsidRPr="00DF2B53" w:rsidRDefault="00275A7E" w:rsidP="00F87656">
            <w:pPr>
              <w:jc w:val="both"/>
              <w:rPr>
                <w:rFonts w:ascii="Times New Roman" w:hAnsi="Times New Roman" w:cs="Times New Roman"/>
              </w:rPr>
            </w:pPr>
            <w:r w:rsidRPr="00DF2B53">
              <w:rPr>
                <w:rFonts w:ascii="Times New Roman" w:hAnsi="Times New Roman" w:cs="Times New Roman"/>
              </w:rPr>
              <w:t>29.12.2020</w:t>
            </w:r>
            <w:r w:rsidR="0097267E" w:rsidRPr="00DC52BD">
              <w:rPr>
                <w:rStyle w:val="FootnoteReference"/>
              </w:rPr>
              <w:footnoteReference w:id="79"/>
            </w:r>
          </w:p>
        </w:tc>
        <w:tc>
          <w:tcPr>
            <w:tcW w:w="1502" w:type="dxa"/>
          </w:tcPr>
          <w:p w14:paraId="2B034179" w14:textId="77777777" w:rsidR="00275A7E" w:rsidRPr="00DF2B53" w:rsidRDefault="00275A7E" w:rsidP="00F87656">
            <w:pPr>
              <w:jc w:val="both"/>
              <w:rPr>
                <w:rFonts w:ascii="Times New Roman" w:hAnsi="Times New Roman" w:cs="Times New Roman"/>
              </w:rPr>
            </w:pPr>
            <w:r w:rsidRPr="00DF2B53">
              <w:rPr>
                <w:rFonts w:ascii="Times New Roman" w:hAnsi="Times New Roman" w:cs="Times New Roman"/>
              </w:rPr>
              <w:t>8.1.2021</w:t>
            </w:r>
          </w:p>
        </w:tc>
        <w:tc>
          <w:tcPr>
            <w:tcW w:w="1502" w:type="dxa"/>
          </w:tcPr>
          <w:p w14:paraId="36F3828B" w14:textId="77777777" w:rsidR="00275A7E" w:rsidRPr="00DF2B53" w:rsidRDefault="00275A7E" w:rsidP="00F87656">
            <w:pPr>
              <w:jc w:val="both"/>
              <w:rPr>
                <w:rFonts w:ascii="Times New Roman" w:hAnsi="Times New Roman" w:cs="Times New Roman"/>
              </w:rPr>
            </w:pPr>
            <w:r w:rsidRPr="00DF2B53">
              <w:rPr>
                <w:rFonts w:ascii="Times New Roman" w:hAnsi="Times New Roman" w:cs="Times New Roman"/>
              </w:rPr>
              <w:t>12.1.2021</w:t>
            </w:r>
          </w:p>
        </w:tc>
        <w:tc>
          <w:tcPr>
            <w:tcW w:w="1502" w:type="dxa"/>
          </w:tcPr>
          <w:p w14:paraId="36E3E231" w14:textId="77777777" w:rsidR="00275A7E" w:rsidRPr="00DF2B53" w:rsidRDefault="00275A7E" w:rsidP="00F87656">
            <w:pPr>
              <w:jc w:val="both"/>
              <w:rPr>
                <w:rFonts w:ascii="Times New Roman" w:hAnsi="Times New Roman" w:cs="Times New Roman"/>
              </w:rPr>
            </w:pPr>
            <w:r w:rsidRPr="00DF2B53">
              <w:rPr>
                <w:rFonts w:ascii="Times New Roman" w:hAnsi="Times New Roman" w:cs="Times New Roman"/>
              </w:rPr>
              <w:t>83/25/0/0</w:t>
            </w:r>
          </w:p>
        </w:tc>
        <w:tc>
          <w:tcPr>
            <w:tcW w:w="1502" w:type="dxa"/>
          </w:tcPr>
          <w:p w14:paraId="5F694784" w14:textId="77777777" w:rsidR="00275A7E" w:rsidRPr="00DF2B53" w:rsidRDefault="00275A7E" w:rsidP="00F87656">
            <w:pPr>
              <w:jc w:val="both"/>
              <w:rPr>
                <w:rFonts w:ascii="Times New Roman" w:hAnsi="Times New Roman" w:cs="Times New Roman"/>
              </w:rPr>
            </w:pPr>
            <w:r w:rsidRPr="00DF2B53">
              <w:rPr>
                <w:rFonts w:ascii="Times New Roman" w:hAnsi="Times New Roman" w:cs="Times New Roman"/>
              </w:rPr>
              <w:t>2 pages</w:t>
            </w:r>
          </w:p>
        </w:tc>
      </w:tr>
      <w:tr w:rsidR="00A00DCA" w:rsidRPr="00DF2B53" w14:paraId="39C52F0E" w14:textId="77777777" w:rsidTr="00F87656">
        <w:tc>
          <w:tcPr>
            <w:tcW w:w="1501" w:type="dxa"/>
          </w:tcPr>
          <w:p w14:paraId="6E9444A7" w14:textId="77777777" w:rsidR="00275A7E" w:rsidRPr="00DF2B53" w:rsidRDefault="00275A7E" w:rsidP="00F87656">
            <w:pPr>
              <w:jc w:val="both"/>
              <w:rPr>
                <w:rFonts w:ascii="Times New Roman" w:hAnsi="Times New Roman" w:cs="Times New Roman"/>
              </w:rPr>
            </w:pPr>
            <w:r w:rsidRPr="00DF2B53">
              <w:rPr>
                <w:rFonts w:ascii="Times New Roman" w:hAnsi="Times New Roman" w:cs="Times New Roman"/>
              </w:rPr>
              <w:t>2</w:t>
            </w:r>
          </w:p>
        </w:tc>
        <w:tc>
          <w:tcPr>
            <w:tcW w:w="1501" w:type="dxa"/>
          </w:tcPr>
          <w:p w14:paraId="491A9AA7" w14:textId="6E1678D6" w:rsidR="00275A7E" w:rsidRPr="00DF2B53" w:rsidRDefault="00275A7E" w:rsidP="00F87656">
            <w:pPr>
              <w:jc w:val="both"/>
              <w:rPr>
                <w:rFonts w:ascii="Times New Roman" w:hAnsi="Times New Roman" w:cs="Times New Roman"/>
              </w:rPr>
            </w:pPr>
            <w:r w:rsidRPr="00DF2B53">
              <w:rPr>
                <w:rFonts w:ascii="Times New Roman" w:hAnsi="Times New Roman" w:cs="Times New Roman"/>
              </w:rPr>
              <w:t>5.2.2021</w:t>
            </w:r>
            <w:r w:rsidR="003759B6" w:rsidRPr="00DC52BD">
              <w:rPr>
                <w:rStyle w:val="FootnoteReference"/>
              </w:rPr>
              <w:footnoteReference w:id="80"/>
            </w:r>
          </w:p>
        </w:tc>
        <w:tc>
          <w:tcPr>
            <w:tcW w:w="1502" w:type="dxa"/>
          </w:tcPr>
          <w:p w14:paraId="1CABC65F" w14:textId="77777777" w:rsidR="00275A7E" w:rsidRPr="00DF2B53" w:rsidRDefault="00275A7E" w:rsidP="00F87656">
            <w:pPr>
              <w:jc w:val="both"/>
              <w:rPr>
                <w:rFonts w:ascii="Times New Roman" w:hAnsi="Times New Roman" w:cs="Times New Roman"/>
              </w:rPr>
            </w:pPr>
            <w:r w:rsidRPr="00DF2B53">
              <w:rPr>
                <w:rFonts w:ascii="Times New Roman" w:hAnsi="Times New Roman" w:cs="Times New Roman"/>
              </w:rPr>
              <w:t>19.2.2021</w:t>
            </w:r>
          </w:p>
        </w:tc>
        <w:tc>
          <w:tcPr>
            <w:tcW w:w="1502" w:type="dxa"/>
          </w:tcPr>
          <w:p w14:paraId="04E5EBDA" w14:textId="77777777" w:rsidR="00275A7E" w:rsidRPr="00DF2B53" w:rsidRDefault="00275A7E" w:rsidP="00F87656">
            <w:pPr>
              <w:jc w:val="both"/>
              <w:rPr>
                <w:rFonts w:ascii="Times New Roman" w:hAnsi="Times New Roman" w:cs="Times New Roman"/>
              </w:rPr>
            </w:pPr>
            <w:r w:rsidRPr="00DF2B53">
              <w:rPr>
                <w:rFonts w:ascii="Times New Roman" w:hAnsi="Times New Roman" w:cs="Times New Roman"/>
              </w:rPr>
              <w:t>26.2.2021</w:t>
            </w:r>
          </w:p>
        </w:tc>
        <w:tc>
          <w:tcPr>
            <w:tcW w:w="1502" w:type="dxa"/>
          </w:tcPr>
          <w:p w14:paraId="0395CCA9" w14:textId="77777777" w:rsidR="00275A7E" w:rsidRPr="00DF2B53" w:rsidRDefault="00275A7E" w:rsidP="00F87656">
            <w:pPr>
              <w:jc w:val="both"/>
              <w:rPr>
                <w:rFonts w:ascii="Times New Roman" w:hAnsi="Times New Roman" w:cs="Times New Roman"/>
              </w:rPr>
            </w:pPr>
            <w:r w:rsidRPr="00DF2B53">
              <w:rPr>
                <w:rFonts w:ascii="Times New Roman" w:hAnsi="Times New Roman" w:cs="Times New Roman"/>
              </w:rPr>
              <w:t>83/35/0/0</w:t>
            </w:r>
          </w:p>
        </w:tc>
        <w:tc>
          <w:tcPr>
            <w:tcW w:w="1502" w:type="dxa"/>
          </w:tcPr>
          <w:p w14:paraId="24D9274B" w14:textId="77777777" w:rsidR="00275A7E" w:rsidRPr="00DF2B53" w:rsidRDefault="00275A7E" w:rsidP="00F87656">
            <w:pPr>
              <w:jc w:val="both"/>
              <w:rPr>
                <w:rFonts w:ascii="Times New Roman" w:hAnsi="Times New Roman" w:cs="Times New Roman"/>
              </w:rPr>
            </w:pPr>
            <w:r w:rsidRPr="00DF2B53">
              <w:rPr>
                <w:rFonts w:ascii="Times New Roman" w:hAnsi="Times New Roman" w:cs="Times New Roman"/>
              </w:rPr>
              <w:t>6+7 pages</w:t>
            </w:r>
          </w:p>
        </w:tc>
      </w:tr>
      <w:tr w:rsidR="00A00DCA" w:rsidRPr="00DF2B53" w14:paraId="0DF5D0BF" w14:textId="77777777" w:rsidTr="00F87656">
        <w:tc>
          <w:tcPr>
            <w:tcW w:w="1501" w:type="dxa"/>
          </w:tcPr>
          <w:p w14:paraId="5CAAF883" w14:textId="77777777" w:rsidR="00275A7E" w:rsidRPr="00DF2B53" w:rsidRDefault="00275A7E" w:rsidP="00F87656">
            <w:pPr>
              <w:jc w:val="both"/>
              <w:rPr>
                <w:rFonts w:ascii="Times New Roman" w:hAnsi="Times New Roman" w:cs="Times New Roman"/>
              </w:rPr>
            </w:pPr>
            <w:r w:rsidRPr="00DF2B53">
              <w:rPr>
                <w:rFonts w:ascii="Times New Roman" w:hAnsi="Times New Roman" w:cs="Times New Roman"/>
              </w:rPr>
              <w:t>3</w:t>
            </w:r>
          </w:p>
        </w:tc>
        <w:tc>
          <w:tcPr>
            <w:tcW w:w="1501" w:type="dxa"/>
          </w:tcPr>
          <w:p w14:paraId="260C9DEC" w14:textId="67248AB9" w:rsidR="00275A7E" w:rsidRPr="00DF2B53" w:rsidRDefault="00275A7E" w:rsidP="00F87656">
            <w:pPr>
              <w:jc w:val="both"/>
              <w:rPr>
                <w:rFonts w:ascii="Times New Roman" w:hAnsi="Times New Roman" w:cs="Times New Roman"/>
              </w:rPr>
            </w:pPr>
            <w:r w:rsidRPr="00DF2B53">
              <w:rPr>
                <w:rFonts w:ascii="Times New Roman" w:hAnsi="Times New Roman" w:cs="Times New Roman"/>
              </w:rPr>
              <w:t>17.3.2021</w:t>
            </w:r>
            <w:r w:rsidR="00B1735C" w:rsidRPr="00DC52BD">
              <w:rPr>
                <w:rStyle w:val="FootnoteReference"/>
              </w:rPr>
              <w:footnoteReference w:id="81"/>
            </w:r>
          </w:p>
        </w:tc>
        <w:tc>
          <w:tcPr>
            <w:tcW w:w="1502" w:type="dxa"/>
          </w:tcPr>
          <w:p w14:paraId="4D132287" w14:textId="77777777" w:rsidR="00275A7E" w:rsidRPr="00DF2B53" w:rsidRDefault="00275A7E" w:rsidP="00F87656">
            <w:pPr>
              <w:jc w:val="both"/>
              <w:rPr>
                <w:rFonts w:ascii="Times New Roman" w:hAnsi="Times New Roman" w:cs="Times New Roman"/>
              </w:rPr>
            </w:pPr>
            <w:r w:rsidRPr="00DF2B53">
              <w:rPr>
                <w:rFonts w:ascii="Times New Roman" w:hAnsi="Times New Roman" w:cs="Times New Roman"/>
              </w:rPr>
              <w:t>31.3.2021</w:t>
            </w:r>
          </w:p>
        </w:tc>
        <w:tc>
          <w:tcPr>
            <w:tcW w:w="1502" w:type="dxa"/>
          </w:tcPr>
          <w:p w14:paraId="72206CEE" w14:textId="77777777" w:rsidR="00275A7E" w:rsidRPr="00DF2B53" w:rsidRDefault="00275A7E" w:rsidP="00F87656">
            <w:pPr>
              <w:jc w:val="both"/>
              <w:rPr>
                <w:rFonts w:ascii="Times New Roman" w:hAnsi="Times New Roman" w:cs="Times New Roman"/>
              </w:rPr>
            </w:pPr>
            <w:r w:rsidRPr="00DF2B53">
              <w:rPr>
                <w:rFonts w:ascii="Times New Roman" w:hAnsi="Times New Roman" w:cs="Times New Roman"/>
              </w:rPr>
              <w:t>1.4.2021</w:t>
            </w:r>
          </w:p>
        </w:tc>
        <w:tc>
          <w:tcPr>
            <w:tcW w:w="1502" w:type="dxa"/>
          </w:tcPr>
          <w:p w14:paraId="60FFE922" w14:textId="77777777" w:rsidR="00275A7E" w:rsidRPr="00DF2B53" w:rsidRDefault="00275A7E" w:rsidP="00F87656">
            <w:pPr>
              <w:jc w:val="both"/>
              <w:rPr>
                <w:rFonts w:ascii="Times New Roman" w:hAnsi="Times New Roman" w:cs="Times New Roman"/>
              </w:rPr>
            </w:pPr>
            <w:r w:rsidRPr="00DF2B53">
              <w:rPr>
                <w:rFonts w:ascii="Times New Roman" w:hAnsi="Times New Roman" w:cs="Times New Roman"/>
              </w:rPr>
              <w:t>78/15/3/0</w:t>
            </w:r>
          </w:p>
        </w:tc>
        <w:tc>
          <w:tcPr>
            <w:tcW w:w="1502" w:type="dxa"/>
          </w:tcPr>
          <w:p w14:paraId="549FB529" w14:textId="77777777" w:rsidR="00275A7E" w:rsidRPr="00DF2B53" w:rsidRDefault="00275A7E" w:rsidP="00F87656">
            <w:pPr>
              <w:jc w:val="both"/>
              <w:rPr>
                <w:rFonts w:ascii="Times New Roman" w:hAnsi="Times New Roman" w:cs="Times New Roman"/>
              </w:rPr>
            </w:pPr>
            <w:r w:rsidRPr="00DF2B53">
              <w:rPr>
                <w:rFonts w:ascii="Times New Roman" w:hAnsi="Times New Roman" w:cs="Times New Roman"/>
              </w:rPr>
              <w:t>11 pages</w:t>
            </w:r>
          </w:p>
        </w:tc>
      </w:tr>
    </w:tbl>
    <w:p w14:paraId="2A55E39D" w14:textId="1401BD0E" w:rsidR="00275A7E" w:rsidRPr="00DF2B53" w:rsidRDefault="00275A7E" w:rsidP="00275A7E">
      <w:pPr>
        <w:jc w:val="both"/>
        <w:rPr>
          <w:rFonts w:ascii="Times New Roman" w:hAnsi="Times New Roman" w:cs="Times New Roman"/>
          <w:i/>
          <w:iCs/>
        </w:rPr>
      </w:pPr>
      <w:r w:rsidRPr="00DF2B53">
        <w:rPr>
          <w:rFonts w:ascii="Times New Roman" w:hAnsi="Times New Roman" w:cs="Times New Roman"/>
          <w:i/>
          <w:iCs/>
        </w:rPr>
        <w:t>Table</w:t>
      </w:r>
      <w:r w:rsidR="00A00DCA" w:rsidRPr="00DF2B53">
        <w:rPr>
          <w:rFonts w:ascii="Times New Roman" w:hAnsi="Times New Roman" w:cs="Times New Roman"/>
          <w:i/>
          <w:iCs/>
        </w:rPr>
        <w:t xml:space="preserve"> 1</w:t>
      </w:r>
      <w:r w:rsidRPr="00DF2B53">
        <w:rPr>
          <w:rFonts w:ascii="Times New Roman" w:hAnsi="Times New Roman" w:cs="Times New Roman"/>
          <w:i/>
          <w:iCs/>
        </w:rPr>
        <w:t xml:space="preserve">: Summary of selected descriptors of the executive </w:t>
      </w:r>
      <w:proofErr w:type="spellStart"/>
      <w:r w:rsidR="00BC1288">
        <w:rPr>
          <w:rFonts w:ascii="Times New Roman" w:hAnsi="Times New Roman" w:cs="Times New Roman"/>
          <w:i/>
          <w:iCs/>
        </w:rPr>
        <w:t>SoE</w:t>
      </w:r>
      <w:proofErr w:type="spellEnd"/>
      <w:r w:rsidR="00BC1288">
        <w:rPr>
          <w:rFonts w:ascii="Times New Roman" w:hAnsi="Times New Roman" w:cs="Times New Roman"/>
          <w:i/>
          <w:iCs/>
        </w:rPr>
        <w:t xml:space="preserve"> prolongation </w:t>
      </w:r>
      <w:r w:rsidRPr="00DF2B53">
        <w:rPr>
          <w:rFonts w:ascii="Times New Roman" w:hAnsi="Times New Roman" w:cs="Times New Roman"/>
          <w:i/>
          <w:iCs/>
        </w:rPr>
        <w:t xml:space="preserve">requests </w:t>
      </w:r>
      <w:r w:rsidR="00076924" w:rsidRPr="00DF2B53">
        <w:rPr>
          <w:rFonts w:ascii="Times New Roman" w:hAnsi="Times New Roman" w:cs="Times New Roman"/>
          <w:i/>
          <w:iCs/>
        </w:rPr>
        <w:t xml:space="preserve">and their processing by the </w:t>
      </w:r>
      <w:r w:rsidR="00645672" w:rsidRPr="00DF2B53">
        <w:rPr>
          <w:rFonts w:ascii="Times New Roman" w:hAnsi="Times New Roman" w:cs="Times New Roman"/>
          <w:i/>
          <w:iCs/>
        </w:rPr>
        <w:t>parliament</w:t>
      </w:r>
      <w:r w:rsidRPr="00DF2B53">
        <w:rPr>
          <w:rFonts w:ascii="Times New Roman" w:hAnsi="Times New Roman" w:cs="Times New Roman"/>
          <w:i/>
          <w:iCs/>
        </w:rPr>
        <w:t xml:space="preserve">. </w:t>
      </w:r>
      <w:r w:rsidR="00BC1288">
        <w:rPr>
          <w:rFonts w:ascii="Times New Roman" w:hAnsi="Times New Roman" w:cs="Times New Roman"/>
          <w:i/>
          <w:iCs/>
        </w:rPr>
        <w:t xml:space="preserve">The fourth executive prolongation, from </w:t>
      </w:r>
      <w:r w:rsidR="00C153ED" w:rsidRPr="00DF2B53">
        <w:rPr>
          <w:rFonts w:ascii="Times New Roman" w:hAnsi="Times New Roman" w:cs="Times New Roman"/>
          <w:i/>
          <w:iCs/>
        </w:rPr>
        <w:t>26</w:t>
      </w:r>
      <w:r w:rsidR="00BC1288">
        <w:rPr>
          <w:rFonts w:ascii="Times New Roman" w:hAnsi="Times New Roman" w:cs="Times New Roman"/>
          <w:i/>
          <w:iCs/>
        </w:rPr>
        <w:t>.4.</w:t>
      </w:r>
      <w:r w:rsidR="00C153ED" w:rsidRPr="00DF2B53">
        <w:rPr>
          <w:rFonts w:ascii="Times New Roman" w:hAnsi="Times New Roman" w:cs="Times New Roman"/>
          <w:i/>
          <w:iCs/>
        </w:rPr>
        <w:t>2021</w:t>
      </w:r>
      <w:r w:rsidR="00BC1288">
        <w:rPr>
          <w:rFonts w:ascii="Times New Roman" w:hAnsi="Times New Roman" w:cs="Times New Roman"/>
          <w:i/>
          <w:iCs/>
        </w:rPr>
        <w:t>,</w:t>
      </w:r>
      <w:r w:rsidR="00C153ED" w:rsidRPr="00DC52BD">
        <w:rPr>
          <w:rStyle w:val="FootnoteReference"/>
        </w:rPr>
        <w:footnoteReference w:id="82"/>
      </w:r>
      <w:r w:rsidR="00C153ED" w:rsidRPr="00DF2B53">
        <w:rPr>
          <w:rFonts w:ascii="Times New Roman" w:hAnsi="Times New Roman" w:cs="Times New Roman"/>
          <w:i/>
          <w:iCs/>
        </w:rPr>
        <w:t xml:space="preserve"> never made it to the parliament, as the </w:t>
      </w:r>
      <w:proofErr w:type="spellStart"/>
      <w:r w:rsidR="00C153ED" w:rsidRPr="00DF2B53">
        <w:rPr>
          <w:rFonts w:ascii="Times New Roman" w:hAnsi="Times New Roman" w:cs="Times New Roman"/>
          <w:i/>
          <w:iCs/>
        </w:rPr>
        <w:t>SoE</w:t>
      </w:r>
      <w:proofErr w:type="spellEnd"/>
      <w:r w:rsidR="00C153ED" w:rsidRPr="00DF2B53">
        <w:rPr>
          <w:rFonts w:ascii="Times New Roman" w:hAnsi="Times New Roman" w:cs="Times New Roman"/>
          <w:i/>
          <w:iCs/>
        </w:rPr>
        <w:t xml:space="preserve"> was lifted on 15</w:t>
      </w:r>
      <w:r w:rsidR="00BC1288">
        <w:rPr>
          <w:rFonts w:ascii="Times New Roman" w:hAnsi="Times New Roman" w:cs="Times New Roman"/>
          <w:i/>
          <w:iCs/>
        </w:rPr>
        <w:t>.5.</w:t>
      </w:r>
      <w:r w:rsidR="00C153ED" w:rsidRPr="00DF2B53">
        <w:rPr>
          <w:rFonts w:ascii="Times New Roman" w:hAnsi="Times New Roman" w:cs="Times New Roman"/>
          <w:i/>
          <w:iCs/>
        </w:rPr>
        <w:t xml:space="preserve">2021, before the expiration of the 20-day </w:t>
      </w:r>
      <w:r w:rsidR="00BC1288">
        <w:rPr>
          <w:rFonts w:ascii="Times New Roman" w:hAnsi="Times New Roman" w:cs="Times New Roman"/>
          <w:i/>
          <w:iCs/>
        </w:rPr>
        <w:t>limit</w:t>
      </w:r>
      <w:r w:rsidR="00BC1288" w:rsidRPr="00DF2B53">
        <w:rPr>
          <w:rFonts w:ascii="Times New Roman" w:hAnsi="Times New Roman" w:cs="Times New Roman"/>
          <w:i/>
          <w:iCs/>
        </w:rPr>
        <w:t xml:space="preserve"> </w:t>
      </w:r>
      <w:r w:rsidR="00BC1288">
        <w:rPr>
          <w:rFonts w:ascii="Times New Roman" w:hAnsi="Times New Roman" w:cs="Times New Roman"/>
          <w:i/>
          <w:iCs/>
        </w:rPr>
        <w:t>for</w:t>
      </w:r>
      <w:r w:rsidR="00C153ED" w:rsidRPr="00DF2B53">
        <w:rPr>
          <w:rFonts w:ascii="Times New Roman" w:hAnsi="Times New Roman" w:cs="Times New Roman"/>
          <w:i/>
          <w:iCs/>
        </w:rPr>
        <w:t xml:space="preserve"> parliamentary approval. The last </w:t>
      </w:r>
      <w:r w:rsidR="00BC1288">
        <w:rPr>
          <w:rFonts w:ascii="Times New Roman" w:hAnsi="Times New Roman" w:cs="Times New Roman"/>
          <w:i/>
          <w:iCs/>
        </w:rPr>
        <w:t xml:space="preserve">pandemic </w:t>
      </w:r>
      <w:proofErr w:type="spellStart"/>
      <w:r w:rsidR="00C153ED" w:rsidRPr="00DF2B53">
        <w:rPr>
          <w:rFonts w:ascii="Times New Roman" w:hAnsi="Times New Roman" w:cs="Times New Roman"/>
          <w:i/>
          <w:iCs/>
        </w:rPr>
        <w:t>SoE</w:t>
      </w:r>
      <w:proofErr w:type="spellEnd"/>
      <w:r w:rsidR="00C153ED" w:rsidRPr="00DF2B53">
        <w:rPr>
          <w:rFonts w:ascii="Times New Roman" w:hAnsi="Times New Roman" w:cs="Times New Roman"/>
          <w:i/>
          <w:iCs/>
        </w:rPr>
        <w:t xml:space="preserve"> was introduced on </w:t>
      </w:r>
      <w:r w:rsidR="00BC1288">
        <w:rPr>
          <w:rFonts w:ascii="Times New Roman" w:hAnsi="Times New Roman" w:cs="Times New Roman"/>
          <w:i/>
          <w:iCs/>
        </w:rPr>
        <w:t>25.11.</w:t>
      </w:r>
      <w:r w:rsidR="00C153ED" w:rsidRPr="00DF2B53">
        <w:rPr>
          <w:rFonts w:ascii="Times New Roman" w:hAnsi="Times New Roman" w:cs="Times New Roman"/>
          <w:i/>
          <w:iCs/>
        </w:rPr>
        <w:t>2021 for 90 days</w:t>
      </w:r>
      <w:r w:rsidR="001912D0" w:rsidRPr="00DC52BD">
        <w:rPr>
          <w:rStyle w:val="FootnoteReference"/>
        </w:rPr>
        <w:footnoteReference w:id="83"/>
      </w:r>
      <w:r w:rsidR="00C153ED" w:rsidRPr="00DF2B53">
        <w:rPr>
          <w:rFonts w:ascii="Times New Roman" w:hAnsi="Times New Roman" w:cs="Times New Roman"/>
          <w:i/>
          <w:iCs/>
        </w:rPr>
        <w:t xml:space="preserve"> and ended on 22</w:t>
      </w:r>
      <w:r w:rsidR="00BC1288">
        <w:rPr>
          <w:rFonts w:ascii="Times New Roman" w:hAnsi="Times New Roman" w:cs="Times New Roman"/>
          <w:i/>
          <w:iCs/>
        </w:rPr>
        <w:t>.2.</w:t>
      </w:r>
      <w:r w:rsidR="00C153ED" w:rsidRPr="00DF2B53">
        <w:rPr>
          <w:rFonts w:ascii="Times New Roman" w:hAnsi="Times New Roman" w:cs="Times New Roman"/>
          <w:i/>
          <w:iCs/>
        </w:rPr>
        <w:t xml:space="preserve">2022. </w:t>
      </w:r>
      <w:r w:rsidRPr="00DF2B53">
        <w:rPr>
          <w:rFonts w:ascii="Times New Roman" w:hAnsi="Times New Roman" w:cs="Times New Roman"/>
          <w:i/>
          <w:iCs/>
        </w:rPr>
        <w:t xml:space="preserve">Source: author, based on data from the National Council website. </w:t>
      </w:r>
    </w:p>
    <w:p w14:paraId="24FE7B34" w14:textId="1332A258" w:rsidR="001E1BF2" w:rsidRPr="00DF2B53" w:rsidRDefault="001E1BF2" w:rsidP="001E1BF2">
      <w:pPr>
        <w:jc w:val="both"/>
        <w:rPr>
          <w:rFonts w:ascii="Times New Roman" w:hAnsi="Times New Roman" w:cs="Times New Roman"/>
        </w:rPr>
      </w:pPr>
    </w:p>
    <w:p w14:paraId="59A0052F" w14:textId="0E5343B9" w:rsidR="00323261" w:rsidRPr="00DF2B53" w:rsidRDefault="001E61A5" w:rsidP="001E1BF2">
      <w:pPr>
        <w:jc w:val="both"/>
        <w:rPr>
          <w:rFonts w:ascii="Times New Roman" w:hAnsi="Times New Roman" w:cs="Times New Roman"/>
        </w:rPr>
      </w:pPr>
      <w:r w:rsidRPr="00DF2B53">
        <w:rPr>
          <w:rFonts w:ascii="Times New Roman" w:hAnsi="Times New Roman" w:cs="Times New Roman"/>
        </w:rPr>
        <w:lastRenderedPageBreak/>
        <w:t>In the second request from February 2021,</w:t>
      </w:r>
      <w:r w:rsidR="00036BD1" w:rsidRPr="00DC52BD">
        <w:rPr>
          <w:rStyle w:val="FootnoteReference"/>
        </w:rPr>
        <w:footnoteReference w:id="84"/>
      </w:r>
      <w:r w:rsidR="002504D5" w:rsidRPr="00DF2B53">
        <w:rPr>
          <w:rFonts w:ascii="Times New Roman" w:hAnsi="Times New Roman" w:cs="Times New Roman"/>
        </w:rPr>
        <w:t xml:space="preserve"> </w:t>
      </w:r>
      <w:r w:rsidRPr="00DF2B53">
        <w:rPr>
          <w:rFonts w:ascii="Times New Roman" w:hAnsi="Times New Roman" w:cs="Times New Roman"/>
        </w:rPr>
        <w:t>t</w:t>
      </w:r>
      <w:r w:rsidR="000C2670" w:rsidRPr="00DF2B53">
        <w:rPr>
          <w:rFonts w:ascii="Times New Roman" w:hAnsi="Times New Roman" w:cs="Times New Roman"/>
        </w:rPr>
        <w:t xml:space="preserve">he executive </w:t>
      </w:r>
      <w:r w:rsidR="00C6425F">
        <w:rPr>
          <w:rFonts w:ascii="Times New Roman" w:hAnsi="Times New Roman" w:cs="Times New Roman"/>
        </w:rPr>
        <w:t>highlights</w:t>
      </w:r>
      <w:r w:rsidR="000C2670" w:rsidRPr="00DF2B53">
        <w:rPr>
          <w:rFonts w:ascii="Times New Roman" w:hAnsi="Times New Roman" w:cs="Times New Roman"/>
        </w:rPr>
        <w:t xml:space="preserve"> that its resolution on the prolongation of the </w:t>
      </w:r>
      <w:proofErr w:type="spellStart"/>
      <w:r w:rsidR="000C2670" w:rsidRPr="00DF2B53">
        <w:rPr>
          <w:rFonts w:ascii="Times New Roman" w:hAnsi="Times New Roman" w:cs="Times New Roman"/>
        </w:rPr>
        <w:t>SoE</w:t>
      </w:r>
      <w:proofErr w:type="spellEnd"/>
      <w:r w:rsidR="000C2670" w:rsidRPr="00DF2B53">
        <w:rPr>
          <w:rFonts w:ascii="Times New Roman" w:hAnsi="Times New Roman" w:cs="Times New Roman"/>
        </w:rPr>
        <w:t xml:space="preserve"> could have been challenged before the </w:t>
      </w:r>
      <w:r w:rsidR="009A58FE" w:rsidRPr="00DF2B53">
        <w:rPr>
          <w:rFonts w:ascii="Times New Roman" w:hAnsi="Times New Roman" w:cs="Times New Roman"/>
        </w:rPr>
        <w:t>SCC</w:t>
      </w:r>
      <w:r w:rsidR="000C2670" w:rsidRPr="00DF2B53">
        <w:rPr>
          <w:rFonts w:ascii="Times New Roman" w:hAnsi="Times New Roman" w:cs="Times New Roman"/>
        </w:rPr>
        <w:t>, but it was not. This, in its view, serves as a source for indirect legitimation of the resolution. Next, it expresses its recognition for the ‘sole constitution-making and legislative body of the Slovak Republic’, as it considers the parliamentary scrutiny as ‘essential for democracy, essential for the rule of law and for not giving up discussion even in pandemic and crisis times’.</w:t>
      </w:r>
      <w:r w:rsidR="00095B12" w:rsidRPr="00DC52BD">
        <w:rPr>
          <w:rStyle w:val="FootnoteReference"/>
        </w:rPr>
        <w:footnoteReference w:id="85"/>
      </w:r>
      <w:r w:rsidR="000C2670" w:rsidRPr="00DF2B53">
        <w:rPr>
          <w:rFonts w:ascii="Times New Roman" w:hAnsi="Times New Roman" w:cs="Times New Roman"/>
        </w:rPr>
        <w:t xml:space="preserve"> </w:t>
      </w:r>
      <w:r w:rsidR="009A58FE" w:rsidRPr="00DF2B53">
        <w:rPr>
          <w:rFonts w:ascii="Times New Roman" w:hAnsi="Times New Roman" w:cs="Times New Roman"/>
        </w:rPr>
        <w:t>Furthermore</w:t>
      </w:r>
      <w:r w:rsidR="000C2670" w:rsidRPr="00DF2B53">
        <w:rPr>
          <w:rFonts w:ascii="Times New Roman" w:hAnsi="Times New Roman" w:cs="Times New Roman"/>
        </w:rPr>
        <w:t xml:space="preserve">, the executive </w:t>
      </w:r>
      <w:r w:rsidR="009A58FE" w:rsidRPr="00DF2B53">
        <w:rPr>
          <w:rFonts w:ascii="Times New Roman" w:hAnsi="Times New Roman" w:cs="Times New Roman"/>
        </w:rPr>
        <w:t xml:space="preserve">refers to </w:t>
      </w:r>
      <w:r w:rsidR="000C2670" w:rsidRPr="00DF2B53">
        <w:rPr>
          <w:rFonts w:ascii="Times New Roman" w:hAnsi="Times New Roman" w:cs="Times New Roman"/>
        </w:rPr>
        <w:t>the continuously high number of cases,</w:t>
      </w:r>
      <w:r w:rsidR="00F959C8" w:rsidRPr="00DF2B53">
        <w:rPr>
          <w:rFonts w:ascii="Times New Roman" w:hAnsi="Times New Roman" w:cs="Times New Roman"/>
        </w:rPr>
        <w:t xml:space="preserve"> the lack of hospital capacities and the spread of new variants.</w:t>
      </w:r>
      <w:r w:rsidR="00323261" w:rsidRPr="00DF2B53">
        <w:rPr>
          <w:rFonts w:ascii="Times New Roman" w:hAnsi="Times New Roman" w:cs="Times New Roman"/>
        </w:rPr>
        <w:t xml:space="preserve"> This is supplemented by more data and references to expertise in epidemiology than in the previous proposal.</w:t>
      </w:r>
      <w:r w:rsidR="00F959C8" w:rsidRPr="00DF2B53">
        <w:rPr>
          <w:rFonts w:ascii="Times New Roman" w:hAnsi="Times New Roman" w:cs="Times New Roman"/>
        </w:rPr>
        <w:t xml:space="preserve"> </w:t>
      </w:r>
      <w:r w:rsidR="00323261" w:rsidRPr="00DF2B53">
        <w:rPr>
          <w:rFonts w:ascii="Times New Roman" w:hAnsi="Times New Roman" w:cs="Times New Roman"/>
        </w:rPr>
        <w:t>Thus, t</w:t>
      </w:r>
      <w:r w:rsidR="00F959C8" w:rsidRPr="00DF2B53">
        <w:rPr>
          <w:rFonts w:ascii="Times New Roman" w:hAnsi="Times New Roman" w:cs="Times New Roman"/>
        </w:rPr>
        <w:t>he resolution is</w:t>
      </w:r>
      <w:r w:rsidR="00323261" w:rsidRPr="00DF2B53">
        <w:rPr>
          <w:rFonts w:ascii="Times New Roman" w:hAnsi="Times New Roman" w:cs="Times New Roman"/>
        </w:rPr>
        <w:t>, according to the executive, an</w:t>
      </w:r>
      <w:r w:rsidR="00F959C8" w:rsidRPr="00DF2B53">
        <w:rPr>
          <w:rFonts w:ascii="Times New Roman" w:hAnsi="Times New Roman" w:cs="Times New Roman"/>
        </w:rPr>
        <w:t xml:space="preserve"> articulation of </w:t>
      </w:r>
      <w:r w:rsidR="00323261" w:rsidRPr="00DF2B53">
        <w:rPr>
          <w:rFonts w:ascii="Times New Roman" w:hAnsi="Times New Roman" w:cs="Times New Roman"/>
        </w:rPr>
        <w:t xml:space="preserve">its </w:t>
      </w:r>
      <w:r w:rsidR="00F959C8" w:rsidRPr="00DF2B53">
        <w:rPr>
          <w:rFonts w:ascii="Times New Roman" w:hAnsi="Times New Roman" w:cs="Times New Roman"/>
        </w:rPr>
        <w:t>‘legitimate and rational effort’ to address the pandemic. Unlike in the first proposal, there is a</w:t>
      </w:r>
      <w:r w:rsidR="009A58FE" w:rsidRPr="00DF2B53">
        <w:rPr>
          <w:rFonts w:ascii="Times New Roman" w:hAnsi="Times New Roman" w:cs="Times New Roman"/>
        </w:rPr>
        <w:t xml:space="preserve"> brief</w:t>
      </w:r>
      <w:r w:rsidR="00F959C8" w:rsidRPr="00DF2B53">
        <w:rPr>
          <w:rFonts w:ascii="Times New Roman" w:hAnsi="Times New Roman" w:cs="Times New Roman"/>
        </w:rPr>
        <w:t xml:space="preserve"> discussion on human rights (especially the positive obligation to protect the right to health, with a reference to the SCC’s case law</w:t>
      </w:r>
      <w:r w:rsidR="00F959C8" w:rsidRPr="00DC52BD">
        <w:rPr>
          <w:rStyle w:val="FootnoteReference"/>
        </w:rPr>
        <w:footnoteReference w:id="86"/>
      </w:r>
      <w:r w:rsidR="00F959C8" w:rsidRPr="00DF2B53">
        <w:rPr>
          <w:rFonts w:ascii="Times New Roman" w:hAnsi="Times New Roman" w:cs="Times New Roman"/>
        </w:rPr>
        <w:t xml:space="preserve">). </w:t>
      </w:r>
    </w:p>
    <w:p w14:paraId="2299838D" w14:textId="77777777" w:rsidR="00323261" w:rsidRPr="00DF2B53" w:rsidRDefault="00323261" w:rsidP="001E1BF2">
      <w:pPr>
        <w:jc w:val="both"/>
        <w:rPr>
          <w:rFonts w:ascii="Times New Roman" w:hAnsi="Times New Roman" w:cs="Times New Roman"/>
        </w:rPr>
      </w:pPr>
    </w:p>
    <w:p w14:paraId="64C7422B" w14:textId="2CCE1B3A" w:rsidR="000C2670" w:rsidRPr="00DF2B53" w:rsidRDefault="00180EAA" w:rsidP="001E1BF2">
      <w:pPr>
        <w:jc w:val="both"/>
        <w:rPr>
          <w:rFonts w:ascii="Times New Roman" w:hAnsi="Times New Roman" w:cs="Times New Roman"/>
        </w:rPr>
      </w:pPr>
      <w:r w:rsidRPr="00DF2B53">
        <w:rPr>
          <w:rFonts w:ascii="Times New Roman" w:hAnsi="Times New Roman" w:cs="Times New Roman"/>
        </w:rPr>
        <w:t>Though</w:t>
      </w:r>
      <w:r w:rsidR="00F959C8" w:rsidRPr="00DF2B53">
        <w:rPr>
          <w:rFonts w:ascii="Times New Roman" w:hAnsi="Times New Roman" w:cs="Times New Roman"/>
        </w:rPr>
        <w:t xml:space="preserve"> </w:t>
      </w:r>
      <w:r w:rsidRPr="00DF2B53">
        <w:rPr>
          <w:rFonts w:ascii="Times New Roman" w:hAnsi="Times New Roman" w:cs="Times New Roman"/>
        </w:rPr>
        <w:t>declaring a commitment to</w:t>
      </w:r>
      <w:r w:rsidR="00F959C8" w:rsidRPr="00DF2B53">
        <w:rPr>
          <w:rFonts w:ascii="Times New Roman" w:hAnsi="Times New Roman" w:cs="Times New Roman"/>
        </w:rPr>
        <w:t xml:space="preserve"> protect human rights beyond the right to health, the proposal interprets the ‘prolongation of the </w:t>
      </w:r>
      <w:proofErr w:type="spellStart"/>
      <w:r w:rsidR="00F959C8" w:rsidRPr="00DF2B53">
        <w:rPr>
          <w:rFonts w:ascii="Times New Roman" w:hAnsi="Times New Roman" w:cs="Times New Roman"/>
        </w:rPr>
        <w:t>SoE</w:t>
      </w:r>
      <w:proofErr w:type="spellEnd"/>
      <w:r w:rsidR="00F959C8" w:rsidRPr="00DF2B53">
        <w:rPr>
          <w:rFonts w:ascii="Times New Roman" w:hAnsi="Times New Roman" w:cs="Times New Roman"/>
        </w:rPr>
        <w:t xml:space="preserve"> as, in a certain sense, a kind of verification or recognition of the factual situation […], in which it is meaningful to have specific means of resolution of a given crisis situation at hand’.</w:t>
      </w:r>
      <w:r w:rsidR="00F94CBA" w:rsidRPr="00DC52BD">
        <w:rPr>
          <w:rStyle w:val="FootnoteReference"/>
        </w:rPr>
        <w:footnoteReference w:id="87"/>
      </w:r>
      <w:r w:rsidR="00323261" w:rsidRPr="00DF2B53">
        <w:rPr>
          <w:rFonts w:ascii="Times New Roman" w:hAnsi="Times New Roman" w:cs="Times New Roman"/>
        </w:rPr>
        <w:t xml:space="preserve"> Several further references to ‘rationality’ as well as to proportionality appear in the text, alongside a note on the government’s awareness of the need to regularly re-evaluate the situation from the perspective of the necessity of continuation of the </w:t>
      </w:r>
      <w:proofErr w:type="spellStart"/>
      <w:r w:rsidR="00323261" w:rsidRPr="00DF2B53">
        <w:rPr>
          <w:rFonts w:ascii="Times New Roman" w:hAnsi="Times New Roman" w:cs="Times New Roman"/>
        </w:rPr>
        <w:t>SoE</w:t>
      </w:r>
      <w:proofErr w:type="spellEnd"/>
      <w:r w:rsidR="00323261" w:rsidRPr="00DF2B53">
        <w:rPr>
          <w:rFonts w:ascii="Times New Roman" w:hAnsi="Times New Roman" w:cs="Times New Roman"/>
        </w:rPr>
        <w:t>.</w:t>
      </w:r>
      <w:r w:rsidR="00D31677" w:rsidRPr="00DC52BD">
        <w:rPr>
          <w:rStyle w:val="FootnoteReference"/>
        </w:rPr>
        <w:footnoteReference w:id="88"/>
      </w:r>
      <w:r w:rsidR="00323261" w:rsidRPr="00DF2B53">
        <w:rPr>
          <w:rFonts w:ascii="Times New Roman" w:hAnsi="Times New Roman" w:cs="Times New Roman"/>
        </w:rPr>
        <w:t xml:space="preserve"> At the same time, the executive contradicts itself on this point by claiming that the </w:t>
      </w:r>
      <w:proofErr w:type="spellStart"/>
      <w:r w:rsidR="00323261" w:rsidRPr="00DF2B53">
        <w:rPr>
          <w:rFonts w:ascii="Times New Roman" w:hAnsi="Times New Roman" w:cs="Times New Roman"/>
        </w:rPr>
        <w:t>SoE</w:t>
      </w:r>
      <w:proofErr w:type="spellEnd"/>
      <w:r w:rsidR="00323261" w:rsidRPr="00DF2B53">
        <w:rPr>
          <w:rFonts w:ascii="Times New Roman" w:hAnsi="Times New Roman" w:cs="Times New Roman"/>
        </w:rPr>
        <w:t xml:space="preserve"> needs to continue until ‘collective immunity’ is reached,</w:t>
      </w:r>
      <w:r w:rsidR="00D31677" w:rsidRPr="00DC52BD">
        <w:rPr>
          <w:rStyle w:val="FootnoteReference"/>
        </w:rPr>
        <w:footnoteReference w:id="89"/>
      </w:r>
      <w:r w:rsidR="00323261" w:rsidRPr="00DF2B53">
        <w:rPr>
          <w:rFonts w:ascii="Times New Roman" w:hAnsi="Times New Roman" w:cs="Times New Roman"/>
        </w:rPr>
        <w:t xml:space="preserve"> which it does not support with evidence. </w:t>
      </w:r>
      <w:r w:rsidR="00B30FB1" w:rsidRPr="00DF2B53">
        <w:rPr>
          <w:rFonts w:ascii="Times New Roman" w:hAnsi="Times New Roman" w:cs="Times New Roman"/>
        </w:rPr>
        <w:t>I</w:t>
      </w:r>
      <w:r w:rsidR="00686351" w:rsidRPr="00DF2B53">
        <w:rPr>
          <w:rFonts w:ascii="Times New Roman" w:hAnsi="Times New Roman" w:cs="Times New Roman"/>
        </w:rPr>
        <w:t>t</w:t>
      </w:r>
      <w:r w:rsidR="00B30FB1" w:rsidRPr="00DF2B53">
        <w:rPr>
          <w:rFonts w:ascii="Times New Roman" w:hAnsi="Times New Roman" w:cs="Times New Roman"/>
        </w:rPr>
        <w:t xml:space="preserve"> also</w:t>
      </w:r>
      <w:r w:rsidR="00686351" w:rsidRPr="00DF2B53">
        <w:rPr>
          <w:rFonts w:ascii="Times New Roman" w:hAnsi="Times New Roman" w:cs="Times New Roman"/>
        </w:rPr>
        <w:t xml:space="preserve"> discusses the mechanism of the ‘COVID automat’, which set out the restrictions depending on the epidemiological situation in individual districts of the country</w:t>
      </w:r>
      <w:r w:rsidR="00B30FB1" w:rsidRPr="00DF2B53">
        <w:rPr>
          <w:rFonts w:ascii="Times New Roman" w:hAnsi="Times New Roman" w:cs="Times New Roman"/>
        </w:rPr>
        <w:t xml:space="preserve">; yet, </w:t>
      </w:r>
      <w:r w:rsidR="00686351" w:rsidRPr="00DF2B53">
        <w:rPr>
          <w:rFonts w:ascii="Times New Roman" w:hAnsi="Times New Roman" w:cs="Times New Roman"/>
        </w:rPr>
        <w:t>this mechanism was introduced by the executive, and</w:t>
      </w:r>
      <w:r w:rsidR="00B30FB1" w:rsidRPr="00DF2B53">
        <w:rPr>
          <w:rFonts w:ascii="Times New Roman" w:hAnsi="Times New Roman" w:cs="Times New Roman"/>
        </w:rPr>
        <w:t xml:space="preserve"> </w:t>
      </w:r>
      <w:r w:rsidR="00686351" w:rsidRPr="00DF2B53">
        <w:rPr>
          <w:rFonts w:ascii="Times New Roman" w:hAnsi="Times New Roman" w:cs="Times New Roman"/>
        </w:rPr>
        <w:t xml:space="preserve">cannot </w:t>
      </w:r>
      <w:r w:rsidR="00B30FB1" w:rsidRPr="00DF2B53">
        <w:rPr>
          <w:rFonts w:ascii="Times New Roman" w:hAnsi="Times New Roman" w:cs="Times New Roman"/>
        </w:rPr>
        <w:t>offer</w:t>
      </w:r>
      <w:r w:rsidR="00686351" w:rsidRPr="00DF2B53">
        <w:rPr>
          <w:rFonts w:ascii="Times New Roman" w:hAnsi="Times New Roman" w:cs="Times New Roman"/>
        </w:rPr>
        <w:t xml:space="preserve"> external scrutiny. </w:t>
      </w:r>
    </w:p>
    <w:p w14:paraId="67EC5A2D" w14:textId="714C6263" w:rsidR="00F959C8" w:rsidRPr="00DF2B53" w:rsidRDefault="00F959C8" w:rsidP="001E1BF2">
      <w:pPr>
        <w:jc w:val="both"/>
        <w:rPr>
          <w:rFonts w:ascii="Times New Roman" w:hAnsi="Times New Roman" w:cs="Times New Roman"/>
        </w:rPr>
      </w:pPr>
    </w:p>
    <w:p w14:paraId="675F302E" w14:textId="0E493C1F" w:rsidR="000C2670" w:rsidRPr="00DF2B53" w:rsidRDefault="00036BD1" w:rsidP="001E1BF2">
      <w:pPr>
        <w:jc w:val="both"/>
        <w:rPr>
          <w:rFonts w:ascii="Times New Roman" w:hAnsi="Times New Roman" w:cs="Times New Roman"/>
        </w:rPr>
      </w:pPr>
      <w:r w:rsidRPr="00DF2B53">
        <w:rPr>
          <w:rFonts w:ascii="Times New Roman" w:hAnsi="Times New Roman" w:cs="Times New Roman"/>
        </w:rPr>
        <w:t xml:space="preserve">This time, the proposal is accompanied by supplementary material prepared by the ministry of justice. </w:t>
      </w:r>
      <w:r w:rsidR="00F04E88">
        <w:rPr>
          <w:rFonts w:ascii="Times New Roman" w:hAnsi="Times New Roman" w:cs="Times New Roman"/>
        </w:rPr>
        <w:t>The document</w:t>
      </w:r>
      <w:r w:rsidRPr="00DF2B53">
        <w:rPr>
          <w:rFonts w:ascii="Times New Roman" w:hAnsi="Times New Roman" w:cs="Times New Roman"/>
        </w:rPr>
        <w:t xml:space="preserve"> provides further arguments for the prolongation, including with references to ‘legality, legitimacy and necessity’ of the </w:t>
      </w:r>
      <w:proofErr w:type="spellStart"/>
      <w:r w:rsidRPr="00DF2B53">
        <w:rPr>
          <w:rFonts w:ascii="Times New Roman" w:hAnsi="Times New Roman" w:cs="Times New Roman"/>
        </w:rPr>
        <w:t>SoE</w:t>
      </w:r>
      <w:proofErr w:type="spellEnd"/>
      <w:r w:rsidRPr="00DF2B53">
        <w:rPr>
          <w:rFonts w:ascii="Times New Roman" w:hAnsi="Times New Roman" w:cs="Times New Roman"/>
        </w:rPr>
        <w:t>, as well as empirical data and prognoses on the pandemic.</w:t>
      </w:r>
      <w:r w:rsidR="00BF411E" w:rsidRPr="00DF2B53">
        <w:rPr>
          <w:rFonts w:ascii="Times New Roman" w:hAnsi="Times New Roman" w:cs="Times New Roman"/>
        </w:rPr>
        <w:t xml:space="preserve"> Referring to the SCC decision from fall 2020,</w:t>
      </w:r>
      <w:r w:rsidR="007815F4" w:rsidRPr="00DF2B53">
        <w:rPr>
          <w:rFonts w:ascii="Times New Roman" w:hAnsi="Times New Roman" w:cs="Times New Roman"/>
        </w:rPr>
        <w:t xml:space="preserve"> which unanimously</w:t>
      </w:r>
      <w:r w:rsidR="00564A66" w:rsidRPr="00DF2B53">
        <w:rPr>
          <w:rFonts w:ascii="Times New Roman" w:hAnsi="Times New Roman" w:cs="Times New Roman"/>
        </w:rPr>
        <w:t xml:space="preserve"> affirmed</w:t>
      </w:r>
      <w:r w:rsidR="00B30FB1" w:rsidRPr="00DF2B53">
        <w:rPr>
          <w:rFonts w:ascii="Times New Roman" w:hAnsi="Times New Roman" w:cs="Times New Roman"/>
        </w:rPr>
        <w:t xml:space="preserve"> </w:t>
      </w:r>
      <w:r w:rsidR="00564A66" w:rsidRPr="00DF2B53">
        <w:rPr>
          <w:rFonts w:ascii="Times New Roman" w:hAnsi="Times New Roman" w:cs="Times New Roman"/>
        </w:rPr>
        <w:t>the</w:t>
      </w:r>
      <w:r w:rsidR="00B30FB1" w:rsidRPr="00DF2B53">
        <w:rPr>
          <w:rFonts w:ascii="Times New Roman" w:hAnsi="Times New Roman" w:cs="Times New Roman"/>
        </w:rPr>
        <w:t xml:space="preserve"> executive’s</w:t>
      </w:r>
      <w:r w:rsidR="00564A66" w:rsidRPr="00DF2B53">
        <w:rPr>
          <w:rFonts w:ascii="Times New Roman" w:hAnsi="Times New Roman" w:cs="Times New Roman"/>
        </w:rPr>
        <w:t xml:space="preserve"> </w:t>
      </w:r>
      <w:proofErr w:type="spellStart"/>
      <w:r w:rsidR="004D5FD5" w:rsidRPr="00DF2B53">
        <w:rPr>
          <w:rFonts w:ascii="Times New Roman" w:hAnsi="Times New Roman" w:cs="Times New Roman"/>
        </w:rPr>
        <w:t>SoE</w:t>
      </w:r>
      <w:proofErr w:type="spellEnd"/>
      <w:r w:rsidR="004D5FD5" w:rsidRPr="00DF2B53">
        <w:rPr>
          <w:rFonts w:ascii="Times New Roman" w:hAnsi="Times New Roman" w:cs="Times New Roman"/>
        </w:rPr>
        <w:t xml:space="preserve"> declaration from October 2020,</w:t>
      </w:r>
      <w:r w:rsidR="00082CC0" w:rsidRPr="00DC52BD">
        <w:rPr>
          <w:rStyle w:val="FootnoteReference"/>
        </w:rPr>
        <w:footnoteReference w:id="90"/>
      </w:r>
      <w:r w:rsidR="00BF411E" w:rsidRPr="00DF2B53">
        <w:rPr>
          <w:rFonts w:ascii="Times New Roman" w:hAnsi="Times New Roman" w:cs="Times New Roman"/>
        </w:rPr>
        <w:t xml:space="preserve"> it argues for a reduced proportionality test</w:t>
      </w:r>
      <w:r w:rsidR="00AD7DA6" w:rsidRPr="00DF2B53">
        <w:rPr>
          <w:rFonts w:ascii="Times New Roman" w:hAnsi="Times New Roman" w:cs="Times New Roman"/>
        </w:rPr>
        <w:t xml:space="preserve"> when evaluating the constitutionality of the adopted measures. The supplementary material goes further in acknowledging the executive’s responsibility to act during a pandemic, thus echoing fear from ‘underreach’</w:t>
      </w:r>
      <w:r w:rsidR="00BB7C28">
        <w:rPr>
          <w:rFonts w:ascii="Times New Roman" w:hAnsi="Times New Roman" w:cs="Times New Roman"/>
        </w:rPr>
        <w:t xml:space="preserve"> </w:t>
      </w:r>
      <w:r w:rsidR="00AD7DA6" w:rsidRPr="00DF2B53">
        <w:rPr>
          <w:rFonts w:ascii="Times New Roman" w:hAnsi="Times New Roman" w:cs="Times New Roman"/>
        </w:rPr>
        <w:t xml:space="preserve">more than </w:t>
      </w:r>
      <w:r w:rsidR="006B3FD2" w:rsidRPr="00DF2B53">
        <w:rPr>
          <w:rFonts w:ascii="Times New Roman" w:hAnsi="Times New Roman" w:cs="Times New Roman"/>
        </w:rPr>
        <w:t xml:space="preserve">from </w:t>
      </w:r>
      <w:r w:rsidR="00AD7DA6" w:rsidRPr="00DF2B53">
        <w:rPr>
          <w:rFonts w:ascii="Times New Roman" w:hAnsi="Times New Roman" w:cs="Times New Roman"/>
        </w:rPr>
        <w:t xml:space="preserve">‘overreach’. A </w:t>
      </w:r>
      <w:r w:rsidR="00AD7DA6" w:rsidRPr="00DF2B53">
        <w:rPr>
          <w:rFonts w:ascii="Times New Roman" w:hAnsi="Times New Roman" w:cs="Times New Roman"/>
        </w:rPr>
        <w:lastRenderedPageBreak/>
        <w:t>separate sectio</w:t>
      </w:r>
      <w:r w:rsidR="00D03951">
        <w:rPr>
          <w:rFonts w:ascii="Times New Roman" w:hAnsi="Times New Roman" w:cs="Times New Roman"/>
        </w:rPr>
        <w:t>n</w:t>
      </w:r>
      <w:r w:rsidR="00D03951" w:rsidRPr="00DC52BD">
        <w:rPr>
          <w:rStyle w:val="FootnoteReference"/>
        </w:rPr>
        <w:footnoteReference w:id="91"/>
      </w:r>
      <w:r w:rsidR="00AD7DA6" w:rsidRPr="00DF2B53">
        <w:rPr>
          <w:rFonts w:ascii="Times New Roman" w:hAnsi="Times New Roman" w:cs="Times New Roman"/>
        </w:rPr>
        <w:t xml:space="preserve"> provides illustrations for what actions would be suspended within the framework of economic mobili</w:t>
      </w:r>
      <w:r w:rsidR="006B3FD2" w:rsidRPr="00DF2B53">
        <w:rPr>
          <w:rFonts w:ascii="Times New Roman" w:hAnsi="Times New Roman" w:cs="Times New Roman"/>
        </w:rPr>
        <w:t>s</w:t>
      </w:r>
      <w:r w:rsidR="00AD7DA6" w:rsidRPr="00DF2B53">
        <w:rPr>
          <w:rFonts w:ascii="Times New Roman" w:hAnsi="Times New Roman" w:cs="Times New Roman"/>
        </w:rPr>
        <w:t xml:space="preserve">ation without a </w:t>
      </w:r>
      <w:proofErr w:type="spellStart"/>
      <w:r w:rsidR="00AD7DA6" w:rsidRPr="00DF2B53">
        <w:rPr>
          <w:rFonts w:ascii="Times New Roman" w:hAnsi="Times New Roman" w:cs="Times New Roman"/>
        </w:rPr>
        <w:t>SoE</w:t>
      </w:r>
      <w:proofErr w:type="spellEnd"/>
      <w:r w:rsidR="00AD7DA6" w:rsidRPr="00DF2B53">
        <w:rPr>
          <w:rFonts w:ascii="Times New Roman" w:hAnsi="Times New Roman" w:cs="Times New Roman"/>
        </w:rPr>
        <w:t xml:space="preserve">, a justification missing from the </w:t>
      </w:r>
      <w:r w:rsidR="00BB7C28">
        <w:rPr>
          <w:rFonts w:ascii="Times New Roman" w:hAnsi="Times New Roman" w:cs="Times New Roman"/>
        </w:rPr>
        <w:t>earlier (</w:t>
      </w:r>
      <w:r w:rsidR="00AD7DA6" w:rsidRPr="00DF2B53">
        <w:rPr>
          <w:rFonts w:ascii="Times New Roman" w:hAnsi="Times New Roman" w:cs="Times New Roman"/>
        </w:rPr>
        <w:t>January</w:t>
      </w:r>
      <w:r w:rsidR="00BB7C28">
        <w:rPr>
          <w:rFonts w:ascii="Times New Roman" w:hAnsi="Times New Roman" w:cs="Times New Roman"/>
        </w:rPr>
        <w:t>)</w:t>
      </w:r>
      <w:r w:rsidR="00AD7DA6" w:rsidRPr="00DF2B53">
        <w:rPr>
          <w:rFonts w:ascii="Times New Roman" w:hAnsi="Times New Roman" w:cs="Times New Roman"/>
        </w:rPr>
        <w:t xml:space="preserve"> proposal.</w:t>
      </w:r>
      <w:r w:rsidR="00AD7DA6" w:rsidRPr="00DC52BD">
        <w:rPr>
          <w:rStyle w:val="FootnoteReference"/>
        </w:rPr>
        <w:footnoteReference w:id="92"/>
      </w:r>
      <w:r w:rsidR="00AD7DA6" w:rsidRPr="00DF2B53">
        <w:rPr>
          <w:rFonts w:ascii="Times New Roman" w:hAnsi="Times New Roman" w:cs="Times New Roman"/>
        </w:rPr>
        <w:t xml:space="preserve"> </w:t>
      </w:r>
    </w:p>
    <w:p w14:paraId="12A81F1F" w14:textId="77777777" w:rsidR="000C2670" w:rsidRPr="00DF2B53" w:rsidRDefault="000C2670" w:rsidP="001E1BF2">
      <w:pPr>
        <w:jc w:val="both"/>
        <w:rPr>
          <w:rFonts w:ascii="Times New Roman" w:hAnsi="Times New Roman" w:cs="Times New Roman"/>
        </w:rPr>
      </w:pPr>
    </w:p>
    <w:p w14:paraId="58B52C21" w14:textId="237E2175" w:rsidR="00254C4B" w:rsidRPr="00DF2B53" w:rsidRDefault="002504D5" w:rsidP="001E1BF2">
      <w:pPr>
        <w:jc w:val="both"/>
        <w:rPr>
          <w:rFonts w:ascii="Times New Roman" w:hAnsi="Times New Roman" w:cs="Times New Roman"/>
        </w:rPr>
      </w:pPr>
      <w:r w:rsidRPr="00DF2B53">
        <w:rPr>
          <w:rFonts w:ascii="Times New Roman" w:hAnsi="Times New Roman" w:cs="Times New Roman"/>
        </w:rPr>
        <w:t xml:space="preserve">The last request </w:t>
      </w:r>
      <w:r w:rsidR="006B3FD2" w:rsidRPr="00DF2B53">
        <w:rPr>
          <w:rFonts w:ascii="Times New Roman" w:hAnsi="Times New Roman" w:cs="Times New Roman"/>
        </w:rPr>
        <w:t>records</w:t>
      </w:r>
      <w:r w:rsidRPr="00DF2B53">
        <w:rPr>
          <w:rFonts w:ascii="Times New Roman" w:hAnsi="Times New Roman" w:cs="Times New Roman"/>
        </w:rPr>
        <w:t xml:space="preserve"> only one day between submission (31 March) and approval (1 April).</w:t>
      </w:r>
      <w:r w:rsidR="00036BD1" w:rsidRPr="00DC52BD">
        <w:rPr>
          <w:rStyle w:val="FootnoteReference"/>
        </w:rPr>
        <w:footnoteReference w:id="93"/>
      </w:r>
      <w:r w:rsidRPr="00DF2B53">
        <w:rPr>
          <w:rFonts w:ascii="Times New Roman" w:hAnsi="Times New Roman" w:cs="Times New Roman"/>
        </w:rPr>
        <w:t xml:space="preserve"> </w:t>
      </w:r>
      <w:r w:rsidR="00254C4B" w:rsidRPr="00DF2B53">
        <w:rPr>
          <w:rFonts w:ascii="Times New Roman" w:hAnsi="Times New Roman" w:cs="Times New Roman"/>
        </w:rPr>
        <w:t xml:space="preserve">This extremely short interval is partially explained by </w:t>
      </w:r>
      <w:r w:rsidR="00072723">
        <w:rPr>
          <w:rFonts w:ascii="Times New Roman" w:hAnsi="Times New Roman" w:cs="Times New Roman"/>
        </w:rPr>
        <w:t xml:space="preserve">waiting for the SCC to decide on its constitutionality, because, </w:t>
      </w:r>
      <w:r w:rsidR="00254C4B" w:rsidRPr="00DF2B53">
        <w:rPr>
          <w:rFonts w:ascii="Times New Roman" w:hAnsi="Times New Roman" w:cs="Times New Roman"/>
        </w:rPr>
        <w:t xml:space="preserve">unlike </w:t>
      </w:r>
      <w:r w:rsidR="00072723">
        <w:rPr>
          <w:rFonts w:ascii="Times New Roman" w:hAnsi="Times New Roman" w:cs="Times New Roman"/>
        </w:rPr>
        <w:t xml:space="preserve">with </w:t>
      </w:r>
      <w:r w:rsidR="00AF78CB" w:rsidRPr="00DF2B53">
        <w:rPr>
          <w:rFonts w:ascii="Times New Roman" w:hAnsi="Times New Roman" w:cs="Times New Roman"/>
        </w:rPr>
        <w:t xml:space="preserve">the previous two requests, the opposition MPs </w:t>
      </w:r>
      <w:r w:rsidR="00072723">
        <w:rPr>
          <w:rFonts w:ascii="Times New Roman" w:hAnsi="Times New Roman" w:cs="Times New Roman"/>
        </w:rPr>
        <w:t>and</w:t>
      </w:r>
      <w:r w:rsidR="00AF78CB" w:rsidRPr="00DF2B53">
        <w:rPr>
          <w:rFonts w:ascii="Times New Roman" w:hAnsi="Times New Roman" w:cs="Times New Roman"/>
        </w:rPr>
        <w:t xml:space="preserve"> the attorney general </w:t>
      </w:r>
      <w:r w:rsidR="00107DE4">
        <w:rPr>
          <w:rFonts w:ascii="Times New Roman" w:hAnsi="Times New Roman" w:cs="Times New Roman"/>
        </w:rPr>
        <w:t>requested the Court to invalidate it</w:t>
      </w:r>
      <w:r w:rsidR="00A90D05" w:rsidRPr="00DF2B53">
        <w:rPr>
          <w:rFonts w:ascii="Times New Roman" w:hAnsi="Times New Roman" w:cs="Times New Roman"/>
        </w:rPr>
        <w:t>. The SCC delivered its verdict on 31 March</w:t>
      </w:r>
      <w:r w:rsidR="00B8059E" w:rsidRPr="00DC52BD">
        <w:rPr>
          <w:rStyle w:val="FootnoteReference"/>
        </w:rPr>
        <w:footnoteReference w:id="94"/>
      </w:r>
      <w:r w:rsidR="00A90D05" w:rsidRPr="00DF2B53">
        <w:rPr>
          <w:rFonts w:ascii="Times New Roman" w:hAnsi="Times New Roman" w:cs="Times New Roman"/>
        </w:rPr>
        <w:t>, in which it refused to invalidate the</w:t>
      </w:r>
      <w:r w:rsidR="00107DE4">
        <w:rPr>
          <w:rFonts w:ascii="Times New Roman" w:hAnsi="Times New Roman" w:cs="Times New Roman"/>
        </w:rPr>
        <w:t xml:space="preserve"> </w:t>
      </w:r>
      <w:proofErr w:type="spellStart"/>
      <w:r w:rsidR="00107DE4">
        <w:rPr>
          <w:rFonts w:ascii="Times New Roman" w:hAnsi="Times New Roman" w:cs="Times New Roman"/>
        </w:rPr>
        <w:t>SoE</w:t>
      </w:r>
      <w:proofErr w:type="spellEnd"/>
      <w:r w:rsidR="00A90D05" w:rsidRPr="00DF2B53">
        <w:rPr>
          <w:rFonts w:ascii="Times New Roman" w:hAnsi="Times New Roman" w:cs="Times New Roman"/>
        </w:rPr>
        <w:t xml:space="preserve"> prolongation, </w:t>
      </w:r>
      <w:r w:rsidR="00107DE4">
        <w:rPr>
          <w:rFonts w:ascii="Times New Roman" w:hAnsi="Times New Roman" w:cs="Times New Roman"/>
        </w:rPr>
        <w:t>and</w:t>
      </w:r>
      <w:r w:rsidR="00A90D05" w:rsidRPr="00DF2B53">
        <w:rPr>
          <w:rFonts w:ascii="Times New Roman" w:hAnsi="Times New Roman" w:cs="Times New Roman"/>
        </w:rPr>
        <w:t xml:space="preserve"> the request was submitted to the parliament on the same day. </w:t>
      </w:r>
    </w:p>
    <w:p w14:paraId="505B835E" w14:textId="77777777" w:rsidR="00254C4B" w:rsidRPr="00DF2B53" w:rsidRDefault="00254C4B" w:rsidP="001E1BF2">
      <w:pPr>
        <w:jc w:val="both"/>
        <w:rPr>
          <w:rFonts w:ascii="Times New Roman" w:hAnsi="Times New Roman" w:cs="Times New Roman"/>
        </w:rPr>
      </w:pPr>
    </w:p>
    <w:p w14:paraId="442EADBF" w14:textId="6824903C" w:rsidR="002504D5" w:rsidRPr="00DF2B53" w:rsidRDefault="00082CC0" w:rsidP="001E1BF2">
      <w:pPr>
        <w:jc w:val="both"/>
        <w:rPr>
          <w:rFonts w:ascii="Times New Roman" w:hAnsi="Times New Roman" w:cs="Times New Roman"/>
        </w:rPr>
      </w:pPr>
      <w:r w:rsidRPr="00DF2B53">
        <w:rPr>
          <w:rFonts w:ascii="Times New Roman" w:hAnsi="Times New Roman" w:cs="Times New Roman"/>
        </w:rPr>
        <w:t>The proposal has 11 pages</w:t>
      </w:r>
      <w:r w:rsidR="00195CA9" w:rsidRPr="00DF2B53">
        <w:rPr>
          <w:rFonts w:ascii="Times New Roman" w:hAnsi="Times New Roman" w:cs="Times New Roman"/>
        </w:rPr>
        <w:t xml:space="preserve">, </w:t>
      </w:r>
      <w:r w:rsidR="00107DE4">
        <w:rPr>
          <w:rFonts w:ascii="Times New Roman" w:hAnsi="Times New Roman" w:cs="Times New Roman"/>
        </w:rPr>
        <w:t>which</w:t>
      </w:r>
      <w:r w:rsidR="00B31EF7" w:rsidRPr="00DF2B53">
        <w:rPr>
          <w:rFonts w:ascii="Times New Roman" w:hAnsi="Times New Roman" w:cs="Times New Roman"/>
        </w:rPr>
        <w:t xml:space="preserve"> </w:t>
      </w:r>
      <w:r w:rsidR="00107DE4">
        <w:rPr>
          <w:rFonts w:ascii="Times New Roman" w:hAnsi="Times New Roman" w:cs="Times New Roman"/>
        </w:rPr>
        <w:t>include</w:t>
      </w:r>
      <w:r w:rsidR="00107DE4" w:rsidRPr="00DF2B53">
        <w:rPr>
          <w:rFonts w:ascii="Times New Roman" w:hAnsi="Times New Roman" w:cs="Times New Roman"/>
        </w:rPr>
        <w:t xml:space="preserve"> </w:t>
      </w:r>
      <w:r w:rsidR="00195CA9" w:rsidRPr="00DF2B53">
        <w:rPr>
          <w:rFonts w:ascii="Times New Roman" w:hAnsi="Times New Roman" w:cs="Times New Roman"/>
        </w:rPr>
        <w:t>information presented in an appendix to the second proposal.</w:t>
      </w:r>
      <w:r w:rsidR="00195CA9" w:rsidRPr="00DC52BD">
        <w:rPr>
          <w:rStyle w:val="FootnoteReference"/>
        </w:rPr>
        <w:footnoteReference w:id="95"/>
      </w:r>
      <w:r w:rsidR="007315B0" w:rsidRPr="00DF2B53">
        <w:rPr>
          <w:rFonts w:ascii="Times New Roman" w:hAnsi="Times New Roman" w:cs="Times New Roman"/>
        </w:rPr>
        <w:t xml:space="preserve"> This is particularly visible when the implications for not prolonging the </w:t>
      </w:r>
      <w:proofErr w:type="spellStart"/>
      <w:r w:rsidR="007315B0" w:rsidRPr="00DF2B53">
        <w:rPr>
          <w:rFonts w:ascii="Times New Roman" w:hAnsi="Times New Roman" w:cs="Times New Roman"/>
        </w:rPr>
        <w:t>SoE</w:t>
      </w:r>
      <w:proofErr w:type="spellEnd"/>
      <w:r w:rsidR="007315B0" w:rsidRPr="00DF2B53">
        <w:rPr>
          <w:rFonts w:ascii="Times New Roman" w:hAnsi="Times New Roman" w:cs="Times New Roman"/>
        </w:rPr>
        <w:t xml:space="preserve"> for the operation of hospitals</w:t>
      </w:r>
      <w:r w:rsidR="00935C71" w:rsidRPr="00DF2B53">
        <w:rPr>
          <w:rFonts w:ascii="Times New Roman" w:hAnsi="Times New Roman" w:cs="Times New Roman"/>
        </w:rPr>
        <w:t xml:space="preserve">, private healthcare providers, </w:t>
      </w:r>
      <w:r w:rsidR="007315B0" w:rsidRPr="00DF2B53">
        <w:rPr>
          <w:rFonts w:ascii="Times New Roman" w:hAnsi="Times New Roman" w:cs="Times New Roman"/>
        </w:rPr>
        <w:t xml:space="preserve">and the provision of medical supplies </w:t>
      </w:r>
      <w:r w:rsidR="00523963">
        <w:rPr>
          <w:rFonts w:ascii="Times New Roman" w:hAnsi="Times New Roman" w:cs="Times New Roman"/>
        </w:rPr>
        <w:t>are discussed</w:t>
      </w:r>
      <w:r w:rsidR="007315B0" w:rsidRPr="00DF2B53">
        <w:rPr>
          <w:rFonts w:ascii="Times New Roman" w:hAnsi="Times New Roman" w:cs="Times New Roman"/>
        </w:rPr>
        <w:t>,</w:t>
      </w:r>
      <w:r w:rsidR="00BD67DB" w:rsidRPr="00DC52BD">
        <w:rPr>
          <w:rStyle w:val="FootnoteReference"/>
        </w:rPr>
        <w:footnoteReference w:id="96"/>
      </w:r>
      <w:r w:rsidR="007315B0" w:rsidRPr="00DF2B53">
        <w:rPr>
          <w:rFonts w:ascii="Times New Roman" w:hAnsi="Times New Roman" w:cs="Times New Roman"/>
        </w:rPr>
        <w:t xml:space="preserve"> while highlighting that the competences granted to it by the </w:t>
      </w:r>
      <w:proofErr w:type="spellStart"/>
      <w:r w:rsidR="007315B0" w:rsidRPr="00DF2B53">
        <w:rPr>
          <w:rFonts w:ascii="Times New Roman" w:hAnsi="Times New Roman" w:cs="Times New Roman"/>
        </w:rPr>
        <w:t>SoE</w:t>
      </w:r>
      <w:proofErr w:type="spellEnd"/>
      <w:r w:rsidR="007315B0" w:rsidRPr="00DF2B53">
        <w:rPr>
          <w:rFonts w:ascii="Times New Roman" w:hAnsi="Times New Roman" w:cs="Times New Roman"/>
        </w:rPr>
        <w:t xml:space="preserve"> are used only exceptionally and upon review of their necessity in </w:t>
      </w:r>
      <w:r w:rsidR="00523963">
        <w:rPr>
          <w:rFonts w:ascii="Times New Roman" w:hAnsi="Times New Roman" w:cs="Times New Roman"/>
        </w:rPr>
        <w:t>each</w:t>
      </w:r>
      <w:r w:rsidR="00523963" w:rsidRPr="00DF2B53">
        <w:rPr>
          <w:rFonts w:ascii="Times New Roman" w:hAnsi="Times New Roman" w:cs="Times New Roman"/>
        </w:rPr>
        <w:t xml:space="preserve"> </w:t>
      </w:r>
      <w:r w:rsidR="007315B0" w:rsidRPr="00DF2B53">
        <w:rPr>
          <w:rFonts w:ascii="Times New Roman" w:hAnsi="Times New Roman" w:cs="Times New Roman"/>
        </w:rPr>
        <w:t xml:space="preserve">individual case. </w:t>
      </w:r>
      <w:r w:rsidR="00935C71" w:rsidRPr="00DF2B53">
        <w:rPr>
          <w:rFonts w:ascii="Times New Roman" w:hAnsi="Times New Roman" w:cs="Times New Roman"/>
        </w:rPr>
        <w:t xml:space="preserve">The executive voices its conviction that the extension of the </w:t>
      </w:r>
      <w:proofErr w:type="spellStart"/>
      <w:r w:rsidR="00935C71" w:rsidRPr="00DF2B53">
        <w:rPr>
          <w:rFonts w:ascii="Times New Roman" w:hAnsi="Times New Roman" w:cs="Times New Roman"/>
        </w:rPr>
        <w:t>SoE</w:t>
      </w:r>
      <w:proofErr w:type="spellEnd"/>
      <w:r w:rsidR="00935C71" w:rsidRPr="00DF2B53">
        <w:rPr>
          <w:rFonts w:ascii="Times New Roman" w:hAnsi="Times New Roman" w:cs="Times New Roman"/>
        </w:rPr>
        <w:t xml:space="preserve"> ‘can be evaluated as a public law action comparable to the action of a caring manager (bonus pater </w:t>
      </w:r>
      <w:proofErr w:type="spellStart"/>
      <w:r w:rsidR="00935C71" w:rsidRPr="00DF2B53">
        <w:rPr>
          <w:rFonts w:ascii="Times New Roman" w:hAnsi="Times New Roman" w:cs="Times New Roman"/>
        </w:rPr>
        <w:t>familias</w:t>
      </w:r>
      <w:proofErr w:type="spellEnd"/>
      <w:r w:rsidR="00935C71" w:rsidRPr="00DF2B53">
        <w:rPr>
          <w:rFonts w:ascii="Times New Roman" w:hAnsi="Times New Roman" w:cs="Times New Roman"/>
        </w:rPr>
        <w:t>; man on the Clapham omnibus)’.</w:t>
      </w:r>
      <w:r w:rsidR="00B12225" w:rsidRPr="00DC52BD">
        <w:rPr>
          <w:rStyle w:val="FootnoteReference"/>
        </w:rPr>
        <w:footnoteReference w:id="97"/>
      </w:r>
      <w:r w:rsidR="00935C71" w:rsidRPr="00DF2B53">
        <w:rPr>
          <w:rFonts w:ascii="Times New Roman" w:hAnsi="Times New Roman" w:cs="Times New Roman"/>
        </w:rPr>
        <w:t xml:space="preserve"> The latter phrasing offers further evidence o</w:t>
      </w:r>
      <w:r w:rsidR="00523963">
        <w:rPr>
          <w:rFonts w:ascii="Times New Roman" w:hAnsi="Times New Roman" w:cs="Times New Roman"/>
        </w:rPr>
        <w:t>f</w:t>
      </w:r>
      <w:r w:rsidR="00935C71" w:rsidRPr="00DF2B53">
        <w:rPr>
          <w:rFonts w:ascii="Times New Roman" w:hAnsi="Times New Roman" w:cs="Times New Roman"/>
        </w:rPr>
        <w:t xml:space="preserve"> the executive’s </w:t>
      </w:r>
      <w:r w:rsidR="00B076C0" w:rsidRPr="00DF2B53">
        <w:rPr>
          <w:rFonts w:ascii="Times New Roman" w:hAnsi="Times New Roman" w:cs="Times New Roman"/>
        </w:rPr>
        <w:t xml:space="preserve">growing </w:t>
      </w:r>
      <w:r w:rsidR="00935C71" w:rsidRPr="00DF2B53">
        <w:rPr>
          <w:rFonts w:ascii="Times New Roman" w:hAnsi="Times New Roman" w:cs="Times New Roman"/>
        </w:rPr>
        <w:t xml:space="preserve">self-perception as </w:t>
      </w:r>
      <w:r w:rsidR="00B076C0" w:rsidRPr="00DF2B53">
        <w:rPr>
          <w:rFonts w:ascii="Times New Roman" w:hAnsi="Times New Roman" w:cs="Times New Roman"/>
        </w:rPr>
        <w:t xml:space="preserve">chiefly </w:t>
      </w:r>
      <w:r w:rsidR="00935C71" w:rsidRPr="00DF2B53">
        <w:rPr>
          <w:rFonts w:ascii="Times New Roman" w:hAnsi="Times New Roman" w:cs="Times New Roman"/>
        </w:rPr>
        <w:t>responsible for managing the pandemic</w:t>
      </w:r>
      <w:r w:rsidR="00F8531E" w:rsidRPr="00DF2B53">
        <w:rPr>
          <w:rFonts w:ascii="Times New Roman" w:hAnsi="Times New Roman" w:cs="Times New Roman"/>
        </w:rPr>
        <w:t xml:space="preserve">, </w:t>
      </w:r>
      <w:r w:rsidR="00B076C0" w:rsidRPr="00DF2B53">
        <w:rPr>
          <w:rFonts w:ascii="Times New Roman" w:hAnsi="Times New Roman" w:cs="Times New Roman"/>
        </w:rPr>
        <w:t xml:space="preserve">even </w:t>
      </w:r>
      <w:r w:rsidR="00254C4B" w:rsidRPr="00DF2B53">
        <w:rPr>
          <w:rFonts w:ascii="Times New Roman" w:hAnsi="Times New Roman" w:cs="Times New Roman"/>
        </w:rPr>
        <w:t>embracing a paternalist narrative.</w:t>
      </w:r>
      <w:r w:rsidR="00254C4B" w:rsidRPr="00DC52BD">
        <w:rPr>
          <w:rStyle w:val="FootnoteReference"/>
        </w:rPr>
        <w:footnoteReference w:id="98"/>
      </w:r>
      <w:r w:rsidR="00B31EF7" w:rsidRPr="00DF2B53">
        <w:rPr>
          <w:rFonts w:ascii="Times New Roman" w:hAnsi="Times New Roman" w:cs="Times New Roman"/>
        </w:rPr>
        <w:t xml:space="preserve"> </w:t>
      </w:r>
      <w:r w:rsidR="007315B0" w:rsidRPr="00DF2B53">
        <w:rPr>
          <w:rFonts w:ascii="Times New Roman" w:hAnsi="Times New Roman" w:cs="Times New Roman"/>
        </w:rPr>
        <w:t xml:space="preserve">Beyond that, however, it rehearses several points from the previous proposal, including on the significance of the </w:t>
      </w:r>
      <w:r w:rsidR="00B31EF7" w:rsidRPr="00DF2B53">
        <w:rPr>
          <w:rFonts w:ascii="Times New Roman" w:hAnsi="Times New Roman" w:cs="Times New Roman"/>
        </w:rPr>
        <w:t>parliamentary</w:t>
      </w:r>
      <w:r w:rsidR="007315B0" w:rsidRPr="00DF2B53">
        <w:rPr>
          <w:rFonts w:ascii="Times New Roman" w:hAnsi="Times New Roman" w:cs="Times New Roman"/>
        </w:rPr>
        <w:t xml:space="preserve"> review, the spread of the pandemic,</w:t>
      </w:r>
      <w:r w:rsidR="00686351" w:rsidRPr="00DF2B53">
        <w:rPr>
          <w:rFonts w:ascii="Times New Roman" w:hAnsi="Times New Roman" w:cs="Times New Roman"/>
        </w:rPr>
        <w:t xml:space="preserve"> the COVID</w:t>
      </w:r>
      <w:r w:rsidR="00E80A87">
        <w:rPr>
          <w:rFonts w:ascii="Times New Roman" w:hAnsi="Times New Roman" w:cs="Times New Roman"/>
        </w:rPr>
        <w:t>-19</w:t>
      </w:r>
      <w:r w:rsidR="00686351" w:rsidRPr="00DF2B53">
        <w:rPr>
          <w:rFonts w:ascii="Times New Roman" w:hAnsi="Times New Roman" w:cs="Times New Roman"/>
        </w:rPr>
        <w:t xml:space="preserve"> automat,</w:t>
      </w:r>
      <w:r w:rsidR="007315B0" w:rsidRPr="00DF2B53">
        <w:rPr>
          <w:rFonts w:ascii="Times New Roman" w:hAnsi="Times New Roman" w:cs="Times New Roman"/>
        </w:rPr>
        <w:t xml:space="preserve"> the right to health and the legitimate position as well as responsibility of the executive to act. Instead of ‘collective immunity’, it places more emphasis on widespread vaccination as a condition for lifting the </w:t>
      </w:r>
      <w:proofErr w:type="spellStart"/>
      <w:r w:rsidR="007315B0" w:rsidRPr="00DF2B53">
        <w:rPr>
          <w:rFonts w:ascii="Times New Roman" w:hAnsi="Times New Roman" w:cs="Times New Roman"/>
        </w:rPr>
        <w:t>SoE</w:t>
      </w:r>
      <w:proofErr w:type="spellEnd"/>
      <w:r w:rsidR="007315B0" w:rsidRPr="00DF2B53">
        <w:rPr>
          <w:rFonts w:ascii="Times New Roman" w:hAnsi="Times New Roman" w:cs="Times New Roman"/>
        </w:rPr>
        <w:t xml:space="preserve">. </w:t>
      </w:r>
    </w:p>
    <w:p w14:paraId="420EA6E6" w14:textId="4725ADC8" w:rsidR="001E7EE2" w:rsidRPr="00DF2B53" w:rsidRDefault="001E7EE2" w:rsidP="001E1BF2">
      <w:pPr>
        <w:jc w:val="both"/>
        <w:rPr>
          <w:rFonts w:ascii="Times New Roman" w:hAnsi="Times New Roman" w:cs="Times New Roman"/>
        </w:rPr>
      </w:pPr>
    </w:p>
    <w:p w14:paraId="64D8DB5C" w14:textId="7E0B3E35" w:rsidR="00DC19B2" w:rsidRPr="00DC19B2" w:rsidRDefault="00082CC0" w:rsidP="001E1BF2">
      <w:pPr>
        <w:jc w:val="both"/>
        <w:rPr>
          <w:rFonts w:ascii="Times New Roman" w:hAnsi="Times New Roman" w:cs="Times New Roman"/>
        </w:rPr>
      </w:pPr>
      <w:r w:rsidRPr="00DF2B53">
        <w:rPr>
          <w:rFonts w:ascii="Times New Roman" w:hAnsi="Times New Roman" w:cs="Times New Roman"/>
        </w:rPr>
        <w:t xml:space="preserve">All in all, it is only in the second and third </w:t>
      </w:r>
      <w:r w:rsidR="00275A7E" w:rsidRPr="00DF2B53">
        <w:rPr>
          <w:rFonts w:ascii="Times New Roman" w:hAnsi="Times New Roman" w:cs="Times New Roman"/>
        </w:rPr>
        <w:t>(very similarly worded) proposals</w:t>
      </w:r>
      <w:r w:rsidRPr="00DF2B53">
        <w:rPr>
          <w:rFonts w:ascii="Times New Roman" w:hAnsi="Times New Roman" w:cs="Times New Roman"/>
        </w:rPr>
        <w:t xml:space="preserve">, both produced more than a year after the COVID-19 outbreak, in which signs of an executive in panic, bundling </w:t>
      </w:r>
      <w:r w:rsidR="0035002E">
        <w:rPr>
          <w:rFonts w:ascii="Times New Roman" w:hAnsi="Times New Roman" w:cs="Times New Roman"/>
        </w:rPr>
        <w:t>signals of</w:t>
      </w:r>
      <w:r w:rsidRPr="00DF2B53">
        <w:rPr>
          <w:rFonts w:ascii="Times New Roman" w:hAnsi="Times New Roman" w:cs="Times New Roman"/>
        </w:rPr>
        <w:t xml:space="preserve"> its </w:t>
      </w:r>
      <w:r w:rsidRPr="00DF2B53">
        <w:rPr>
          <w:rFonts w:ascii="Times New Roman" w:hAnsi="Times New Roman" w:cs="Times New Roman"/>
          <w:i/>
          <w:iCs/>
        </w:rPr>
        <w:t>overreach and underreach at the same time or one closely following the other</w:t>
      </w:r>
      <w:r w:rsidRPr="00DF2B53">
        <w:rPr>
          <w:rFonts w:ascii="Times New Roman" w:hAnsi="Times New Roman" w:cs="Times New Roman"/>
        </w:rPr>
        <w:t xml:space="preserve"> </w:t>
      </w:r>
      <w:r w:rsidR="00D929EE" w:rsidRPr="00DF2B53">
        <w:rPr>
          <w:rFonts w:ascii="Times New Roman" w:hAnsi="Times New Roman" w:cs="Times New Roman"/>
        </w:rPr>
        <w:t>are less obvious</w:t>
      </w:r>
      <w:r w:rsidR="00E80A87">
        <w:rPr>
          <w:rFonts w:ascii="Times New Roman" w:hAnsi="Times New Roman" w:cs="Times New Roman"/>
        </w:rPr>
        <w:t>, and at least some justifications for the policy choices are provided</w:t>
      </w:r>
      <w:r w:rsidR="00275A7E" w:rsidRPr="00DF2B53">
        <w:rPr>
          <w:rFonts w:ascii="Times New Roman" w:hAnsi="Times New Roman" w:cs="Times New Roman"/>
        </w:rPr>
        <w:t xml:space="preserve">. </w:t>
      </w:r>
      <w:r w:rsidR="00F43F42" w:rsidRPr="00DF2B53">
        <w:rPr>
          <w:rFonts w:ascii="Times New Roman" w:hAnsi="Times New Roman" w:cs="Times New Roman"/>
        </w:rPr>
        <w:t xml:space="preserve">Thus, it took at least a year for the executive to be able to </w:t>
      </w:r>
      <w:r w:rsidR="00F43F42" w:rsidRPr="00DF2B53">
        <w:rPr>
          <w:rFonts w:ascii="Times New Roman" w:hAnsi="Times New Roman" w:cs="Times New Roman"/>
          <w:i/>
          <w:iCs/>
        </w:rPr>
        <w:t>embrace its role</w:t>
      </w:r>
      <w:r w:rsidR="00F43F42" w:rsidRPr="00DF2B53">
        <w:rPr>
          <w:rFonts w:ascii="Times New Roman" w:hAnsi="Times New Roman" w:cs="Times New Roman"/>
        </w:rPr>
        <w:t xml:space="preserve"> as a key institution in managing the pandemic in </w:t>
      </w:r>
      <w:proofErr w:type="gramStart"/>
      <w:r w:rsidR="00F43F42" w:rsidRPr="00DF2B53">
        <w:rPr>
          <w:rFonts w:ascii="Times New Roman" w:hAnsi="Times New Roman" w:cs="Times New Roman"/>
        </w:rPr>
        <w:t>Slovakia, and</w:t>
      </w:r>
      <w:proofErr w:type="gramEnd"/>
      <w:r w:rsidR="00F43F42" w:rsidRPr="00DF2B53">
        <w:rPr>
          <w:rFonts w:ascii="Times New Roman" w:hAnsi="Times New Roman" w:cs="Times New Roman"/>
        </w:rPr>
        <w:t xml:space="preserve"> offer at least some more scrupulous justifications for </w:t>
      </w:r>
      <w:r w:rsidR="00F43F42" w:rsidRPr="00DF2B53">
        <w:rPr>
          <w:rFonts w:ascii="Times New Roman" w:hAnsi="Times New Roman" w:cs="Times New Roman"/>
        </w:rPr>
        <w:lastRenderedPageBreak/>
        <w:t xml:space="preserve">the policy choices it had been making. </w:t>
      </w:r>
      <w:r w:rsidR="00C52AC0">
        <w:rPr>
          <w:rFonts w:ascii="Times New Roman" w:hAnsi="Times New Roman" w:cs="Times New Roman"/>
        </w:rPr>
        <w:t xml:space="preserve">Figure 1 </w:t>
      </w:r>
      <w:r w:rsidR="00D37B11">
        <w:rPr>
          <w:rFonts w:ascii="Times New Roman" w:hAnsi="Times New Roman" w:cs="Times New Roman"/>
        </w:rPr>
        <w:t>visualises</w:t>
      </w:r>
      <w:r w:rsidR="00CB749B">
        <w:rPr>
          <w:rFonts w:ascii="Times New Roman" w:hAnsi="Times New Roman" w:cs="Times New Roman"/>
        </w:rPr>
        <w:t xml:space="preserve"> </w:t>
      </w:r>
      <w:r w:rsidR="00D37B11" w:rsidRPr="00D37B11">
        <w:rPr>
          <w:rFonts w:ascii="Times New Roman" w:hAnsi="Times New Roman" w:cs="Times New Roman"/>
        </w:rPr>
        <w:t>t</w:t>
      </w:r>
      <w:r w:rsidR="00D37B11" w:rsidRPr="004405AC">
        <w:rPr>
          <w:rFonts w:ascii="Times New Roman" w:hAnsi="Times New Roman" w:cs="Times New Roman"/>
        </w:rPr>
        <w:t xml:space="preserve">he dissociation between a culture of justification and the invocation of the </w:t>
      </w:r>
      <w:proofErr w:type="spellStart"/>
      <w:r w:rsidR="00CD0456">
        <w:rPr>
          <w:rFonts w:ascii="Times New Roman" w:hAnsi="Times New Roman" w:cs="Times New Roman"/>
        </w:rPr>
        <w:t>SoE</w:t>
      </w:r>
      <w:proofErr w:type="spellEnd"/>
      <w:r w:rsidR="00D37B11" w:rsidRPr="004405AC">
        <w:rPr>
          <w:rFonts w:ascii="Times New Roman" w:hAnsi="Times New Roman" w:cs="Times New Roman"/>
        </w:rPr>
        <w:t xml:space="preserve"> in Slovakia</w:t>
      </w:r>
      <w:r w:rsidR="00D37B11">
        <w:rPr>
          <w:rFonts w:ascii="Times New Roman" w:hAnsi="Times New Roman" w:cs="Times New Roman"/>
        </w:rPr>
        <w:t>.</w:t>
      </w:r>
      <w:r w:rsidR="00D37B11" w:rsidRPr="00D37B11" w:rsidDel="00CB749B">
        <w:rPr>
          <w:rFonts w:ascii="Times New Roman" w:hAnsi="Times New Roman" w:cs="Times New Roman"/>
        </w:rPr>
        <w:t xml:space="preserve"> </w:t>
      </w:r>
      <w:r w:rsidR="00D37B11">
        <w:rPr>
          <w:rFonts w:ascii="Times New Roman" w:hAnsi="Times New Roman" w:cs="Times New Roman"/>
        </w:rPr>
        <w:t xml:space="preserve">To dissociate the </w:t>
      </w:r>
      <w:proofErr w:type="spellStart"/>
      <w:r w:rsidR="00CD0456">
        <w:rPr>
          <w:rFonts w:ascii="Times New Roman" w:hAnsi="Times New Roman" w:cs="Times New Roman"/>
        </w:rPr>
        <w:t>SoE</w:t>
      </w:r>
      <w:proofErr w:type="spellEnd"/>
      <w:r w:rsidR="00D37B11">
        <w:rPr>
          <w:rFonts w:ascii="Times New Roman" w:hAnsi="Times New Roman" w:cs="Times New Roman"/>
        </w:rPr>
        <w:t xml:space="preserve"> from the pathologies of both overreach and underreach, </w:t>
      </w:r>
      <w:r w:rsidR="00B35C2B">
        <w:rPr>
          <w:rFonts w:ascii="Times New Roman" w:hAnsi="Times New Roman" w:cs="Times New Roman"/>
        </w:rPr>
        <w:t xml:space="preserve">it would need to be read as embedded in the culture of justification. </w:t>
      </w:r>
    </w:p>
    <w:p w14:paraId="72275700" w14:textId="33E49FF2" w:rsidR="00BD4343" w:rsidRPr="00D37B11" w:rsidRDefault="00DC19B2" w:rsidP="001E1BF2">
      <w:pPr>
        <w:jc w:val="both"/>
        <w:rPr>
          <w:noProof/>
        </w:rPr>
      </w:pPr>
      <w:r>
        <w:rPr>
          <w:noProof/>
        </w:rPr>
        <w:drawing>
          <wp:inline distT="0" distB="0" distL="0" distR="0" wp14:anchorId="23661FEC" wp14:editId="069E0991">
            <wp:extent cx="5772905" cy="2909454"/>
            <wp:effectExtent l="0" t="0" r="0" b="571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6943" t="23650" r="24730" b="24093"/>
                    <a:stretch/>
                  </pic:blipFill>
                  <pic:spPr bwMode="auto">
                    <a:xfrm>
                      <a:off x="0" y="0"/>
                      <a:ext cx="5800651" cy="2923437"/>
                    </a:xfrm>
                    <a:prstGeom prst="rect">
                      <a:avLst/>
                    </a:prstGeom>
                    <a:ln>
                      <a:noFill/>
                    </a:ln>
                    <a:extLst>
                      <a:ext uri="{53640926-AAD7-44D8-BBD7-CCE9431645EC}">
                        <a14:shadowObscured xmlns:a14="http://schemas.microsoft.com/office/drawing/2010/main"/>
                      </a:ext>
                    </a:extLst>
                  </pic:spPr>
                </pic:pic>
              </a:graphicData>
            </a:graphic>
          </wp:inline>
        </w:drawing>
      </w:r>
    </w:p>
    <w:p w14:paraId="1413F689" w14:textId="3DF810B1" w:rsidR="00CB749B" w:rsidRDefault="00AD3609" w:rsidP="00890EB3">
      <w:pPr>
        <w:jc w:val="both"/>
        <w:rPr>
          <w:rFonts w:ascii="Times New Roman" w:hAnsi="Times New Roman" w:cs="Times New Roman"/>
          <w:i/>
          <w:iCs/>
        </w:rPr>
      </w:pPr>
      <w:r>
        <w:rPr>
          <w:rFonts w:ascii="Times New Roman" w:hAnsi="Times New Roman" w:cs="Times New Roman"/>
          <w:i/>
          <w:iCs/>
        </w:rPr>
        <w:t>Figure 1</w:t>
      </w:r>
      <w:r w:rsidRPr="00DF2B53">
        <w:rPr>
          <w:rFonts w:ascii="Times New Roman" w:hAnsi="Times New Roman" w:cs="Times New Roman"/>
          <w:i/>
          <w:iCs/>
        </w:rPr>
        <w:t xml:space="preserve">: </w:t>
      </w:r>
      <w:r w:rsidR="00B35C2B">
        <w:rPr>
          <w:rFonts w:ascii="Times New Roman" w:hAnsi="Times New Roman" w:cs="Times New Roman"/>
          <w:i/>
          <w:iCs/>
        </w:rPr>
        <w:t xml:space="preserve">The Slovak case </w:t>
      </w:r>
      <w:r w:rsidR="00C916B1">
        <w:rPr>
          <w:rFonts w:ascii="Times New Roman" w:hAnsi="Times New Roman" w:cs="Times New Roman"/>
          <w:i/>
          <w:iCs/>
        </w:rPr>
        <w:t xml:space="preserve">of dissociation of the decisions on the </w:t>
      </w:r>
      <w:proofErr w:type="spellStart"/>
      <w:r w:rsidR="00C916B1">
        <w:rPr>
          <w:rFonts w:ascii="Times New Roman" w:hAnsi="Times New Roman" w:cs="Times New Roman"/>
          <w:i/>
          <w:iCs/>
        </w:rPr>
        <w:t>SoE</w:t>
      </w:r>
      <w:proofErr w:type="spellEnd"/>
      <w:r w:rsidR="00C916B1">
        <w:rPr>
          <w:rFonts w:ascii="Times New Roman" w:hAnsi="Times New Roman" w:cs="Times New Roman"/>
          <w:i/>
          <w:iCs/>
        </w:rPr>
        <w:t xml:space="preserve"> from a culture of justification. Its absence (signified by the dotted arrow) always amounts to overreach, even if simultaneously, actions of underreach occur</w:t>
      </w:r>
      <w:r w:rsidR="00D37B11">
        <w:rPr>
          <w:rFonts w:ascii="Times New Roman" w:hAnsi="Times New Roman" w:cs="Times New Roman"/>
          <w:i/>
          <w:iCs/>
        </w:rPr>
        <w:t>.</w:t>
      </w:r>
      <w:r w:rsidR="00716AAC">
        <w:rPr>
          <w:rFonts w:ascii="Times New Roman" w:hAnsi="Times New Roman" w:cs="Times New Roman"/>
          <w:i/>
          <w:iCs/>
        </w:rPr>
        <w:t xml:space="preserve"> </w:t>
      </w:r>
      <w:r w:rsidR="00E21EDD">
        <w:rPr>
          <w:rFonts w:ascii="Times New Roman" w:hAnsi="Times New Roman" w:cs="Times New Roman"/>
          <w:i/>
          <w:iCs/>
        </w:rPr>
        <w:t>Source: author</w:t>
      </w:r>
      <w:r>
        <w:rPr>
          <w:rFonts w:ascii="Times New Roman" w:hAnsi="Times New Roman" w:cs="Times New Roman"/>
          <w:i/>
          <w:iCs/>
        </w:rPr>
        <w:t>.</w:t>
      </w:r>
    </w:p>
    <w:p w14:paraId="18F4C80E" w14:textId="77777777" w:rsidR="00890EB3" w:rsidRDefault="00890EB3" w:rsidP="00890EB3">
      <w:pPr>
        <w:rPr>
          <w:rFonts w:ascii="Times New Roman" w:hAnsi="Times New Roman" w:cs="Times New Roman"/>
          <w:i/>
          <w:iCs/>
        </w:rPr>
      </w:pPr>
    </w:p>
    <w:p w14:paraId="302B864F" w14:textId="043A0E9D" w:rsidR="001E1BF2" w:rsidRPr="00DF2B53" w:rsidRDefault="00B74D55" w:rsidP="00192B3E">
      <w:pPr>
        <w:pStyle w:val="Heading2"/>
        <w:rPr>
          <w:rFonts w:ascii="Times New Roman" w:hAnsi="Times New Roman" w:cs="Times New Roman"/>
        </w:rPr>
      </w:pPr>
      <w:r w:rsidRPr="00DF2B53">
        <w:rPr>
          <w:rFonts w:ascii="Times New Roman" w:hAnsi="Times New Roman" w:cs="Times New Roman"/>
          <w:color w:val="auto"/>
          <w:sz w:val="24"/>
          <w:szCs w:val="24"/>
          <w:u w:val="single"/>
        </w:rPr>
        <w:t xml:space="preserve">V. </w:t>
      </w:r>
      <w:r w:rsidR="00192B3E" w:rsidRPr="00DF2B53">
        <w:rPr>
          <w:rFonts w:ascii="Times New Roman" w:hAnsi="Times New Roman" w:cs="Times New Roman"/>
          <w:color w:val="auto"/>
          <w:sz w:val="24"/>
          <w:szCs w:val="24"/>
          <w:u w:val="single"/>
        </w:rPr>
        <w:t>Conclusion</w:t>
      </w:r>
    </w:p>
    <w:p w14:paraId="04E54F5C" w14:textId="1F5CEC6B" w:rsidR="00515453" w:rsidRPr="00DF2B53" w:rsidRDefault="00CB44B7" w:rsidP="001E1BF2">
      <w:pPr>
        <w:jc w:val="both"/>
        <w:rPr>
          <w:rFonts w:ascii="Times New Roman" w:hAnsi="Times New Roman" w:cs="Times New Roman"/>
        </w:rPr>
      </w:pPr>
      <w:r w:rsidRPr="00DF2B53">
        <w:rPr>
          <w:rFonts w:ascii="Times New Roman" w:hAnsi="Times New Roman" w:cs="Times New Roman"/>
        </w:rPr>
        <w:t>Th</w:t>
      </w:r>
      <w:r w:rsidR="00D929EE" w:rsidRPr="00DF2B53">
        <w:rPr>
          <w:rFonts w:ascii="Times New Roman" w:hAnsi="Times New Roman" w:cs="Times New Roman"/>
        </w:rPr>
        <w:t>is article has examined the interaction between two forms of executive governance failures during emergencies</w:t>
      </w:r>
      <w:r w:rsidR="00E40BF9">
        <w:rPr>
          <w:rFonts w:ascii="Times New Roman" w:hAnsi="Times New Roman" w:cs="Times New Roman"/>
        </w:rPr>
        <w:t>,</w:t>
      </w:r>
      <w:r w:rsidR="00D929EE" w:rsidRPr="00DF2B53">
        <w:rPr>
          <w:rFonts w:ascii="Times New Roman" w:hAnsi="Times New Roman" w:cs="Times New Roman"/>
        </w:rPr>
        <w:t xml:space="preserve"> and </w:t>
      </w:r>
      <w:r w:rsidR="00076924" w:rsidRPr="00DF2B53">
        <w:rPr>
          <w:rFonts w:ascii="Times New Roman" w:hAnsi="Times New Roman" w:cs="Times New Roman"/>
        </w:rPr>
        <w:t xml:space="preserve">the legal institution of the </w:t>
      </w:r>
      <w:proofErr w:type="spellStart"/>
      <w:r w:rsidR="00076924" w:rsidRPr="00DF2B53">
        <w:rPr>
          <w:rFonts w:ascii="Times New Roman" w:hAnsi="Times New Roman" w:cs="Times New Roman"/>
        </w:rPr>
        <w:t>SoE</w:t>
      </w:r>
      <w:proofErr w:type="spellEnd"/>
      <w:r w:rsidRPr="00DF2B53">
        <w:rPr>
          <w:rFonts w:ascii="Times New Roman" w:hAnsi="Times New Roman" w:cs="Times New Roman"/>
        </w:rPr>
        <w:t xml:space="preserve">. The Slovak </w:t>
      </w:r>
      <w:r w:rsidR="00D929EE" w:rsidRPr="00DF2B53">
        <w:rPr>
          <w:rFonts w:ascii="Times New Roman" w:hAnsi="Times New Roman" w:cs="Times New Roman"/>
        </w:rPr>
        <w:t>case shows</w:t>
      </w:r>
      <w:r w:rsidRPr="00DF2B53">
        <w:rPr>
          <w:rFonts w:ascii="Times New Roman" w:hAnsi="Times New Roman" w:cs="Times New Roman"/>
        </w:rPr>
        <w:t xml:space="preserve"> that (1) both </w:t>
      </w:r>
      <w:r w:rsidR="00D929EE" w:rsidRPr="00DF2B53">
        <w:rPr>
          <w:rFonts w:ascii="Times New Roman" w:hAnsi="Times New Roman" w:cs="Times New Roman"/>
        </w:rPr>
        <w:t>types</w:t>
      </w:r>
      <w:r w:rsidRPr="00DF2B53">
        <w:rPr>
          <w:rFonts w:ascii="Times New Roman" w:hAnsi="Times New Roman" w:cs="Times New Roman"/>
        </w:rPr>
        <w:t xml:space="preserve"> may combine not only within </w:t>
      </w:r>
      <w:r w:rsidR="00E40BF9">
        <w:rPr>
          <w:rFonts w:ascii="Times New Roman" w:hAnsi="Times New Roman" w:cs="Times New Roman"/>
        </w:rPr>
        <w:t>one</w:t>
      </w:r>
      <w:r w:rsidRPr="00DF2B53">
        <w:rPr>
          <w:rFonts w:ascii="Times New Roman" w:hAnsi="Times New Roman" w:cs="Times New Roman"/>
        </w:rPr>
        <w:t xml:space="preserve"> jurisdiction, but even in relation to the same emergency and </w:t>
      </w:r>
      <w:r w:rsidR="00D929EE" w:rsidRPr="00DF2B53">
        <w:rPr>
          <w:rFonts w:ascii="Times New Roman" w:hAnsi="Times New Roman" w:cs="Times New Roman"/>
        </w:rPr>
        <w:t>concurrently in time</w:t>
      </w:r>
      <w:r w:rsidRPr="00DF2B53">
        <w:rPr>
          <w:rFonts w:ascii="Times New Roman" w:hAnsi="Times New Roman" w:cs="Times New Roman"/>
        </w:rPr>
        <w:t xml:space="preserve">, with the executive adopting disproportionate </w:t>
      </w:r>
      <w:r w:rsidR="00E40BF9">
        <w:rPr>
          <w:rFonts w:ascii="Times New Roman" w:hAnsi="Times New Roman" w:cs="Times New Roman"/>
        </w:rPr>
        <w:t xml:space="preserve">rights </w:t>
      </w:r>
      <w:r w:rsidRPr="00DF2B53">
        <w:rPr>
          <w:rFonts w:ascii="Times New Roman" w:hAnsi="Times New Roman" w:cs="Times New Roman"/>
        </w:rPr>
        <w:t>restrictions in some areas, while neglecting its positive duties in other</w:t>
      </w:r>
      <w:r w:rsidR="00E40BF9">
        <w:rPr>
          <w:rFonts w:ascii="Times New Roman" w:hAnsi="Times New Roman" w:cs="Times New Roman"/>
        </w:rPr>
        <w:t>s</w:t>
      </w:r>
      <w:r w:rsidRPr="00DF2B53">
        <w:rPr>
          <w:rFonts w:ascii="Times New Roman" w:hAnsi="Times New Roman" w:cs="Times New Roman"/>
        </w:rPr>
        <w:t>;</w:t>
      </w:r>
      <w:r w:rsidRPr="00DC52BD">
        <w:rPr>
          <w:rStyle w:val="FootnoteReference"/>
        </w:rPr>
        <w:footnoteReference w:id="99"/>
      </w:r>
      <w:r w:rsidRPr="00DF2B53">
        <w:rPr>
          <w:rFonts w:ascii="Times New Roman" w:hAnsi="Times New Roman" w:cs="Times New Roman"/>
        </w:rPr>
        <w:t xml:space="preserve"> (2) the (legal) </w:t>
      </w:r>
      <w:proofErr w:type="spellStart"/>
      <w:r w:rsidRPr="00DF2B53">
        <w:rPr>
          <w:rFonts w:ascii="Times New Roman" w:hAnsi="Times New Roman" w:cs="Times New Roman"/>
        </w:rPr>
        <w:t>SoE</w:t>
      </w:r>
      <w:proofErr w:type="spellEnd"/>
      <w:r w:rsidRPr="00DF2B53">
        <w:rPr>
          <w:rFonts w:ascii="Times New Roman" w:hAnsi="Times New Roman" w:cs="Times New Roman"/>
        </w:rPr>
        <w:t xml:space="preserve"> is but an empty shell, </w:t>
      </w:r>
      <w:r w:rsidR="00742B6A">
        <w:rPr>
          <w:rFonts w:ascii="Times New Roman" w:hAnsi="Times New Roman" w:cs="Times New Roman"/>
        </w:rPr>
        <w:t xml:space="preserve">through </w:t>
      </w:r>
      <w:r w:rsidRPr="00DF2B53">
        <w:rPr>
          <w:rFonts w:ascii="Times New Roman" w:hAnsi="Times New Roman" w:cs="Times New Roman"/>
        </w:rPr>
        <w:t xml:space="preserve">which </w:t>
      </w:r>
      <w:r w:rsidR="000152A5">
        <w:rPr>
          <w:rFonts w:ascii="Times New Roman" w:hAnsi="Times New Roman" w:cs="Times New Roman"/>
        </w:rPr>
        <w:t>both</w:t>
      </w:r>
      <w:r w:rsidRPr="00DF2B53">
        <w:rPr>
          <w:rFonts w:ascii="Times New Roman" w:hAnsi="Times New Roman" w:cs="Times New Roman"/>
        </w:rPr>
        <w:t xml:space="preserve"> executive overreach</w:t>
      </w:r>
      <w:r w:rsidR="000152A5">
        <w:rPr>
          <w:rFonts w:ascii="Times New Roman" w:hAnsi="Times New Roman" w:cs="Times New Roman"/>
        </w:rPr>
        <w:t xml:space="preserve"> and</w:t>
      </w:r>
      <w:r w:rsidRPr="00DF2B53">
        <w:rPr>
          <w:rFonts w:ascii="Times New Roman" w:hAnsi="Times New Roman" w:cs="Times New Roman"/>
        </w:rPr>
        <w:t xml:space="preserve"> executive underreach may occur;</w:t>
      </w:r>
      <w:r w:rsidR="00B4116B" w:rsidRPr="00DC52BD">
        <w:rPr>
          <w:rStyle w:val="FootnoteReference"/>
        </w:rPr>
        <w:footnoteReference w:id="100"/>
      </w:r>
      <w:r w:rsidRPr="00DF2B53">
        <w:rPr>
          <w:rFonts w:ascii="Times New Roman" w:hAnsi="Times New Roman" w:cs="Times New Roman"/>
        </w:rPr>
        <w:t xml:space="preserve"> (3) executive underreach </w:t>
      </w:r>
      <w:r w:rsidR="00742B6A">
        <w:rPr>
          <w:rFonts w:ascii="Times New Roman" w:hAnsi="Times New Roman" w:cs="Times New Roman"/>
        </w:rPr>
        <w:t xml:space="preserve">may </w:t>
      </w:r>
      <w:r w:rsidR="000152A5">
        <w:rPr>
          <w:rFonts w:ascii="Times New Roman" w:hAnsi="Times New Roman" w:cs="Times New Roman"/>
        </w:rPr>
        <w:t>become</w:t>
      </w:r>
      <w:r w:rsidR="00742B6A">
        <w:rPr>
          <w:rFonts w:ascii="Times New Roman" w:hAnsi="Times New Roman" w:cs="Times New Roman"/>
        </w:rPr>
        <w:t xml:space="preserve"> a response to backlash </w:t>
      </w:r>
      <w:r w:rsidRPr="00DF2B53">
        <w:rPr>
          <w:rFonts w:ascii="Times New Roman" w:hAnsi="Times New Roman" w:cs="Times New Roman"/>
        </w:rPr>
        <w:t>against previous executive overreach</w:t>
      </w:r>
      <w:r w:rsidR="00100838" w:rsidRPr="00DF2B53">
        <w:rPr>
          <w:rFonts w:ascii="Times New Roman" w:hAnsi="Times New Roman" w:cs="Times New Roman"/>
        </w:rPr>
        <w:t>.</w:t>
      </w:r>
      <w:r w:rsidR="00A62EB9" w:rsidRPr="00DF2B53">
        <w:rPr>
          <w:rFonts w:ascii="Times New Roman" w:hAnsi="Times New Roman" w:cs="Times New Roman"/>
        </w:rPr>
        <w:t xml:space="preserve"> </w:t>
      </w:r>
      <w:r w:rsidR="003F1DB5" w:rsidRPr="00DF2B53">
        <w:rPr>
          <w:rFonts w:ascii="Times New Roman" w:hAnsi="Times New Roman" w:cs="Times New Roman"/>
        </w:rPr>
        <w:t>Methodologically,</w:t>
      </w:r>
      <w:r w:rsidR="00A62EB9" w:rsidRPr="00DF2B53">
        <w:rPr>
          <w:rFonts w:ascii="Times New Roman" w:hAnsi="Times New Roman" w:cs="Times New Roman"/>
        </w:rPr>
        <w:t xml:space="preserve"> the article supplement</w:t>
      </w:r>
      <w:r w:rsidR="00742B6A">
        <w:rPr>
          <w:rFonts w:ascii="Times New Roman" w:hAnsi="Times New Roman" w:cs="Times New Roman"/>
        </w:rPr>
        <w:t>s</w:t>
      </w:r>
      <w:r w:rsidR="00A62EB9" w:rsidRPr="00DF2B53">
        <w:rPr>
          <w:rFonts w:ascii="Times New Roman" w:hAnsi="Times New Roman" w:cs="Times New Roman"/>
        </w:rPr>
        <w:t xml:space="preserve"> </w:t>
      </w:r>
      <w:r w:rsidR="00076924" w:rsidRPr="00DF2B53">
        <w:rPr>
          <w:rFonts w:ascii="Times New Roman" w:hAnsi="Times New Roman" w:cs="Times New Roman"/>
        </w:rPr>
        <w:t>t</w:t>
      </w:r>
      <w:r w:rsidR="00515453" w:rsidRPr="00DF2B53">
        <w:rPr>
          <w:rFonts w:ascii="Times New Roman" w:hAnsi="Times New Roman" w:cs="Times New Roman"/>
        </w:rPr>
        <w:t xml:space="preserve">he analytical framework </w:t>
      </w:r>
      <w:r w:rsidR="00E7304E">
        <w:rPr>
          <w:rFonts w:ascii="Times New Roman" w:hAnsi="Times New Roman" w:cs="Times New Roman"/>
        </w:rPr>
        <w:t>of</w:t>
      </w:r>
      <w:r w:rsidR="00515453" w:rsidRPr="00DF2B53">
        <w:rPr>
          <w:rFonts w:ascii="Times New Roman" w:hAnsi="Times New Roman" w:cs="Times New Roman"/>
        </w:rPr>
        <w:t xml:space="preserve"> executive overreach and underreach </w:t>
      </w:r>
      <w:r w:rsidR="00A62EB9" w:rsidRPr="00DF2B53">
        <w:rPr>
          <w:rFonts w:ascii="Times New Roman" w:hAnsi="Times New Roman" w:cs="Times New Roman"/>
        </w:rPr>
        <w:t xml:space="preserve">with attention to the </w:t>
      </w:r>
      <w:r w:rsidR="00515453" w:rsidRPr="00DF2B53">
        <w:rPr>
          <w:rFonts w:ascii="Times New Roman" w:hAnsi="Times New Roman" w:cs="Times New Roman"/>
        </w:rPr>
        <w:t xml:space="preserve">justifications for </w:t>
      </w:r>
      <w:r w:rsidR="00742B6A">
        <w:rPr>
          <w:rFonts w:ascii="Times New Roman" w:hAnsi="Times New Roman" w:cs="Times New Roman"/>
        </w:rPr>
        <w:t>policy measures</w:t>
      </w:r>
      <w:r w:rsidR="00E7304E">
        <w:rPr>
          <w:rFonts w:ascii="Times New Roman" w:hAnsi="Times New Roman" w:cs="Times New Roman"/>
        </w:rPr>
        <w:t xml:space="preserve">. This is because </w:t>
      </w:r>
      <w:r w:rsidR="00A62EB9" w:rsidRPr="00DF2B53">
        <w:rPr>
          <w:rFonts w:ascii="Times New Roman" w:hAnsi="Times New Roman" w:cs="Times New Roman"/>
        </w:rPr>
        <w:t xml:space="preserve">the lack of justifications itself amounts to a form of overreach, that may combine with underreach </w:t>
      </w:r>
      <w:r w:rsidR="00742B6A">
        <w:rPr>
          <w:rFonts w:ascii="Times New Roman" w:hAnsi="Times New Roman" w:cs="Times New Roman"/>
        </w:rPr>
        <w:t>where</w:t>
      </w:r>
      <w:r w:rsidR="00A62EB9" w:rsidRPr="00DF2B53">
        <w:rPr>
          <w:rFonts w:ascii="Times New Roman" w:hAnsi="Times New Roman" w:cs="Times New Roman"/>
        </w:rPr>
        <w:t xml:space="preserve"> justifications for </w:t>
      </w:r>
      <w:r w:rsidR="00A62EB9" w:rsidRPr="004405AC">
        <w:rPr>
          <w:rFonts w:ascii="Times New Roman" w:hAnsi="Times New Roman" w:cs="Times New Roman"/>
          <w:i/>
          <w:iCs/>
        </w:rPr>
        <w:t xml:space="preserve">ending </w:t>
      </w:r>
      <w:r w:rsidR="00A62EB9" w:rsidRPr="00DF2B53">
        <w:rPr>
          <w:rFonts w:ascii="Times New Roman" w:hAnsi="Times New Roman" w:cs="Times New Roman"/>
        </w:rPr>
        <w:t xml:space="preserve">a previously declared </w:t>
      </w:r>
      <w:proofErr w:type="spellStart"/>
      <w:r w:rsidR="00A62EB9" w:rsidRPr="00DF2B53">
        <w:rPr>
          <w:rFonts w:ascii="Times New Roman" w:hAnsi="Times New Roman" w:cs="Times New Roman"/>
        </w:rPr>
        <w:t>SoE</w:t>
      </w:r>
      <w:proofErr w:type="spellEnd"/>
      <w:r w:rsidR="00E7304E" w:rsidRPr="00E7304E">
        <w:rPr>
          <w:rFonts w:ascii="Times New Roman" w:hAnsi="Times New Roman" w:cs="Times New Roman"/>
        </w:rPr>
        <w:t xml:space="preserve"> </w:t>
      </w:r>
      <w:r w:rsidR="00E7304E" w:rsidRPr="00DF2B53">
        <w:rPr>
          <w:rFonts w:ascii="Times New Roman" w:hAnsi="Times New Roman" w:cs="Times New Roman"/>
        </w:rPr>
        <w:t>are missing</w:t>
      </w:r>
      <w:r w:rsidR="00A62EB9" w:rsidRPr="00DF2B53">
        <w:rPr>
          <w:rFonts w:ascii="Times New Roman" w:hAnsi="Times New Roman" w:cs="Times New Roman"/>
        </w:rPr>
        <w:t xml:space="preserve">. </w:t>
      </w:r>
      <w:r w:rsidR="00515453" w:rsidRPr="00DF2B53">
        <w:rPr>
          <w:rFonts w:ascii="Times New Roman" w:hAnsi="Times New Roman" w:cs="Times New Roman"/>
        </w:rPr>
        <w:t xml:space="preserve"> </w:t>
      </w:r>
    </w:p>
    <w:p w14:paraId="74F94EB8" w14:textId="77777777" w:rsidR="00515453" w:rsidRPr="00DF2B53" w:rsidRDefault="00515453" w:rsidP="001E1BF2">
      <w:pPr>
        <w:jc w:val="both"/>
        <w:rPr>
          <w:rFonts w:ascii="Times New Roman" w:hAnsi="Times New Roman" w:cs="Times New Roman"/>
        </w:rPr>
      </w:pPr>
    </w:p>
    <w:p w14:paraId="1A7DA005" w14:textId="435F65C7" w:rsidR="00E60DF1" w:rsidRPr="00DF2B53" w:rsidRDefault="00DC5C97" w:rsidP="003D5CAD">
      <w:pPr>
        <w:jc w:val="both"/>
        <w:rPr>
          <w:rFonts w:ascii="Times New Roman" w:hAnsi="Times New Roman" w:cs="Times New Roman"/>
        </w:rPr>
      </w:pPr>
      <w:r w:rsidRPr="00DF2B53">
        <w:rPr>
          <w:rFonts w:ascii="Times New Roman" w:hAnsi="Times New Roman" w:cs="Times New Roman"/>
        </w:rPr>
        <w:t>T</w:t>
      </w:r>
      <w:r w:rsidR="00515453" w:rsidRPr="00DF2B53">
        <w:rPr>
          <w:rFonts w:ascii="Times New Roman" w:hAnsi="Times New Roman" w:cs="Times New Roman"/>
        </w:rPr>
        <w:t xml:space="preserve">he analysis </w:t>
      </w:r>
      <w:r w:rsidR="006F71F3" w:rsidRPr="00DF2B53">
        <w:rPr>
          <w:rFonts w:ascii="Times New Roman" w:hAnsi="Times New Roman" w:cs="Times New Roman"/>
        </w:rPr>
        <w:t>support</w:t>
      </w:r>
      <w:r w:rsidR="00B34F79">
        <w:rPr>
          <w:rFonts w:ascii="Times New Roman" w:hAnsi="Times New Roman" w:cs="Times New Roman"/>
        </w:rPr>
        <w:t>s</w:t>
      </w:r>
      <w:r w:rsidR="006F71F3" w:rsidRPr="00DF2B53">
        <w:rPr>
          <w:rFonts w:ascii="Times New Roman" w:hAnsi="Times New Roman" w:cs="Times New Roman"/>
        </w:rPr>
        <w:t xml:space="preserve"> </w:t>
      </w:r>
      <w:proofErr w:type="spellStart"/>
      <w:r w:rsidR="00515453" w:rsidRPr="00DF2B53">
        <w:rPr>
          <w:rFonts w:ascii="Times New Roman" w:hAnsi="Times New Roman" w:cs="Times New Roman"/>
        </w:rPr>
        <w:t>Pozen</w:t>
      </w:r>
      <w:proofErr w:type="spellEnd"/>
      <w:r w:rsidR="00515453" w:rsidRPr="00DF2B53">
        <w:rPr>
          <w:rFonts w:ascii="Times New Roman" w:hAnsi="Times New Roman" w:cs="Times New Roman"/>
        </w:rPr>
        <w:t xml:space="preserve"> and </w:t>
      </w:r>
      <w:proofErr w:type="spellStart"/>
      <w:r w:rsidR="00515453" w:rsidRPr="00DF2B53">
        <w:rPr>
          <w:rFonts w:ascii="Times New Roman" w:hAnsi="Times New Roman" w:cs="Times New Roman"/>
        </w:rPr>
        <w:t>Scheppele’s</w:t>
      </w:r>
      <w:proofErr w:type="spellEnd"/>
      <w:r w:rsidR="00515453" w:rsidRPr="00DF2B53">
        <w:rPr>
          <w:rFonts w:ascii="Times New Roman" w:hAnsi="Times New Roman" w:cs="Times New Roman"/>
        </w:rPr>
        <w:t xml:space="preserve"> normative claim that, instead of formal legal standards, the prevention of executive overreach or underreach requires changes at the level of ‘legal culture’</w:t>
      </w:r>
      <w:r w:rsidR="00B34F79">
        <w:rPr>
          <w:rFonts w:ascii="Times New Roman" w:hAnsi="Times New Roman" w:cs="Times New Roman"/>
        </w:rPr>
        <w:t>.</w:t>
      </w:r>
      <w:r w:rsidR="00515453" w:rsidRPr="00DC52BD">
        <w:rPr>
          <w:rStyle w:val="FootnoteReference"/>
        </w:rPr>
        <w:footnoteReference w:id="101"/>
      </w:r>
      <w:r w:rsidR="00515453" w:rsidRPr="00DF2B53">
        <w:rPr>
          <w:rFonts w:ascii="Times New Roman" w:hAnsi="Times New Roman" w:cs="Times New Roman"/>
        </w:rPr>
        <w:t xml:space="preserve"> </w:t>
      </w:r>
      <w:r w:rsidR="00B34F79">
        <w:rPr>
          <w:rFonts w:ascii="Times New Roman" w:hAnsi="Times New Roman" w:cs="Times New Roman"/>
        </w:rPr>
        <w:t>This requires</w:t>
      </w:r>
      <w:r w:rsidR="00515453" w:rsidRPr="00DF2B53">
        <w:rPr>
          <w:rFonts w:ascii="Times New Roman" w:hAnsi="Times New Roman" w:cs="Times New Roman"/>
        </w:rPr>
        <w:t xml:space="preserve"> building a ‘culture of justification’ before and beyond the rise </w:t>
      </w:r>
      <w:r w:rsidR="00515453" w:rsidRPr="00DF2B53">
        <w:rPr>
          <w:rFonts w:ascii="Times New Roman" w:hAnsi="Times New Roman" w:cs="Times New Roman"/>
        </w:rPr>
        <w:lastRenderedPageBreak/>
        <w:t xml:space="preserve">of an actual emergency. Several questions </w:t>
      </w:r>
      <w:r w:rsidR="00B34F79">
        <w:rPr>
          <w:rFonts w:ascii="Times New Roman" w:hAnsi="Times New Roman" w:cs="Times New Roman"/>
        </w:rPr>
        <w:t>arise</w:t>
      </w:r>
      <w:r w:rsidR="00515453" w:rsidRPr="00DF2B53">
        <w:rPr>
          <w:rFonts w:ascii="Times New Roman" w:hAnsi="Times New Roman" w:cs="Times New Roman"/>
        </w:rPr>
        <w:t>, however</w:t>
      </w:r>
      <w:r w:rsidR="00BF44BD" w:rsidRPr="00DF2B53">
        <w:rPr>
          <w:rFonts w:ascii="Times New Roman" w:hAnsi="Times New Roman" w:cs="Times New Roman"/>
        </w:rPr>
        <w:t xml:space="preserve">, amidst prospects for </w:t>
      </w:r>
      <w:r w:rsidR="00060C30">
        <w:rPr>
          <w:rFonts w:ascii="Times New Roman" w:hAnsi="Times New Roman" w:cs="Times New Roman"/>
        </w:rPr>
        <w:t xml:space="preserve">other current and </w:t>
      </w:r>
      <w:r w:rsidR="00BF44BD" w:rsidRPr="00DF2B53">
        <w:rPr>
          <w:rFonts w:ascii="Times New Roman" w:hAnsi="Times New Roman" w:cs="Times New Roman"/>
        </w:rPr>
        <w:t>future</w:t>
      </w:r>
      <w:r w:rsidR="00060C30">
        <w:rPr>
          <w:rFonts w:ascii="Times New Roman" w:hAnsi="Times New Roman" w:cs="Times New Roman"/>
        </w:rPr>
        <w:t xml:space="preserve"> </w:t>
      </w:r>
      <w:r w:rsidR="00BF44BD" w:rsidRPr="00DF2B53">
        <w:rPr>
          <w:rFonts w:ascii="Times New Roman" w:hAnsi="Times New Roman" w:cs="Times New Roman"/>
        </w:rPr>
        <w:t>emergencies</w:t>
      </w:r>
      <w:r w:rsidR="00515453" w:rsidRPr="00DF2B53">
        <w:rPr>
          <w:rFonts w:ascii="Times New Roman" w:hAnsi="Times New Roman" w:cs="Times New Roman"/>
        </w:rPr>
        <w:t>.</w:t>
      </w:r>
      <w:r w:rsidR="0015584D" w:rsidRPr="00DC52BD">
        <w:rPr>
          <w:rStyle w:val="FootnoteReference"/>
        </w:rPr>
        <w:footnoteReference w:id="102"/>
      </w:r>
      <w:r w:rsidR="00515453" w:rsidRPr="00DF2B53">
        <w:rPr>
          <w:rFonts w:ascii="Times New Roman" w:hAnsi="Times New Roman" w:cs="Times New Roman"/>
        </w:rPr>
        <w:t xml:space="preserve"> </w:t>
      </w:r>
      <w:r w:rsidR="00657F8D">
        <w:rPr>
          <w:rFonts w:ascii="Times New Roman" w:hAnsi="Times New Roman" w:cs="Times New Roman"/>
        </w:rPr>
        <w:t>T</w:t>
      </w:r>
      <w:r w:rsidR="00515453" w:rsidRPr="00DF2B53">
        <w:rPr>
          <w:rFonts w:ascii="Times New Roman" w:hAnsi="Times New Roman" w:cs="Times New Roman"/>
        </w:rPr>
        <w:t>he role of actors other than executives</w:t>
      </w:r>
      <w:r w:rsidR="00991324" w:rsidRPr="00DF2B53">
        <w:rPr>
          <w:rFonts w:ascii="Times New Roman" w:hAnsi="Times New Roman" w:cs="Times New Roman"/>
        </w:rPr>
        <w:t xml:space="preserve"> </w:t>
      </w:r>
      <w:r w:rsidR="00515453" w:rsidRPr="00DF2B53">
        <w:rPr>
          <w:rFonts w:ascii="Times New Roman" w:hAnsi="Times New Roman" w:cs="Times New Roman"/>
        </w:rPr>
        <w:t>in fostering or preventing overreach or underreach</w:t>
      </w:r>
      <w:r w:rsidR="00C33655" w:rsidRPr="00DF2B53">
        <w:rPr>
          <w:rFonts w:ascii="Times New Roman" w:hAnsi="Times New Roman" w:cs="Times New Roman"/>
        </w:rPr>
        <w:t xml:space="preserve"> comes to the fore, </w:t>
      </w:r>
      <w:r w:rsidR="00060C30">
        <w:rPr>
          <w:rFonts w:ascii="Times New Roman" w:hAnsi="Times New Roman" w:cs="Times New Roman"/>
        </w:rPr>
        <w:t>i</w:t>
      </w:r>
      <w:r w:rsidR="00C33655" w:rsidRPr="00DF2B53">
        <w:rPr>
          <w:rFonts w:ascii="Times New Roman" w:hAnsi="Times New Roman" w:cs="Times New Roman"/>
        </w:rPr>
        <w:t>n two ways: the potential expan</w:t>
      </w:r>
      <w:r w:rsidR="00D672D9" w:rsidRPr="00DF2B53">
        <w:rPr>
          <w:rFonts w:ascii="Times New Roman" w:hAnsi="Times New Roman" w:cs="Times New Roman"/>
        </w:rPr>
        <w:t xml:space="preserve">sion or addition to the </w:t>
      </w:r>
      <w:r w:rsidR="00991324" w:rsidRPr="00DF2B53">
        <w:rPr>
          <w:rFonts w:ascii="Times New Roman" w:hAnsi="Times New Roman" w:cs="Times New Roman"/>
        </w:rPr>
        <w:t xml:space="preserve">categories of </w:t>
      </w:r>
      <w:r w:rsidR="00991324" w:rsidRPr="00DF2B53">
        <w:rPr>
          <w:rFonts w:ascii="Times New Roman" w:hAnsi="Times New Roman" w:cs="Times New Roman"/>
          <w:i/>
          <w:iCs/>
        </w:rPr>
        <w:t xml:space="preserve">executive </w:t>
      </w:r>
      <w:r w:rsidR="00991324" w:rsidRPr="00DF2B53">
        <w:rPr>
          <w:rFonts w:ascii="Times New Roman" w:hAnsi="Times New Roman" w:cs="Times New Roman"/>
        </w:rPr>
        <w:t xml:space="preserve">overreach/underreach </w:t>
      </w:r>
      <w:r w:rsidR="00D672D9" w:rsidRPr="00DF2B53">
        <w:rPr>
          <w:rFonts w:ascii="Times New Roman" w:hAnsi="Times New Roman" w:cs="Times New Roman"/>
        </w:rPr>
        <w:t>those of</w:t>
      </w:r>
      <w:r w:rsidR="00991324" w:rsidRPr="00DF2B53">
        <w:rPr>
          <w:rFonts w:ascii="Times New Roman" w:hAnsi="Times New Roman" w:cs="Times New Roman"/>
        </w:rPr>
        <w:t xml:space="preserve"> </w:t>
      </w:r>
      <w:r w:rsidR="00991324" w:rsidRPr="00DF2B53">
        <w:rPr>
          <w:rFonts w:ascii="Times New Roman" w:hAnsi="Times New Roman" w:cs="Times New Roman"/>
          <w:i/>
          <w:iCs/>
        </w:rPr>
        <w:t xml:space="preserve">legislative </w:t>
      </w:r>
      <w:r w:rsidR="00991324" w:rsidRPr="00DF2B53">
        <w:rPr>
          <w:rFonts w:ascii="Times New Roman" w:hAnsi="Times New Roman" w:cs="Times New Roman"/>
        </w:rPr>
        <w:t xml:space="preserve">and/or </w:t>
      </w:r>
      <w:r w:rsidR="00991324" w:rsidRPr="00DF2B53">
        <w:rPr>
          <w:rFonts w:ascii="Times New Roman" w:hAnsi="Times New Roman" w:cs="Times New Roman"/>
          <w:i/>
          <w:iCs/>
        </w:rPr>
        <w:t xml:space="preserve">judicial </w:t>
      </w:r>
      <w:r w:rsidR="00991324" w:rsidRPr="00DF2B53">
        <w:rPr>
          <w:rFonts w:ascii="Times New Roman" w:hAnsi="Times New Roman" w:cs="Times New Roman"/>
        </w:rPr>
        <w:t>overreach/underreach</w:t>
      </w:r>
      <w:r w:rsidR="00991324" w:rsidRPr="00DC52BD">
        <w:rPr>
          <w:rStyle w:val="FootnoteReference"/>
        </w:rPr>
        <w:footnoteReference w:id="103"/>
      </w:r>
      <w:r w:rsidR="00991324" w:rsidRPr="00DF2B53">
        <w:rPr>
          <w:rFonts w:ascii="Times New Roman" w:hAnsi="Times New Roman" w:cs="Times New Roman"/>
        </w:rPr>
        <w:t xml:space="preserve"> </w:t>
      </w:r>
      <w:r w:rsidR="00D672D9" w:rsidRPr="00DF2B53">
        <w:rPr>
          <w:rFonts w:ascii="Times New Roman" w:hAnsi="Times New Roman" w:cs="Times New Roman"/>
        </w:rPr>
        <w:t>and criteria thereof</w:t>
      </w:r>
      <w:r w:rsidR="00294ED9">
        <w:rPr>
          <w:rFonts w:ascii="Times New Roman" w:hAnsi="Times New Roman" w:cs="Times New Roman"/>
        </w:rPr>
        <w:t>, not neglecting the ‘culture of justification’ in adjudicative practice</w:t>
      </w:r>
      <w:r w:rsidR="00D672D9" w:rsidRPr="00DF2B53">
        <w:rPr>
          <w:rFonts w:ascii="Times New Roman" w:hAnsi="Times New Roman" w:cs="Times New Roman"/>
        </w:rPr>
        <w:t>;</w:t>
      </w:r>
      <w:r w:rsidR="00294ED9" w:rsidRPr="00DC52BD">
        <w:rPr>
          <w:rStyle w:val="FootnoteReference"/>
        </w:rPr>
        <w:footnoteReference w:id="104"/>
      </w:r>
      <w:r w:rsidR="00D672D9" w:rsidRPr="00DF2B53">
        <w:rPr>
          <w:rFonts w:ascii="Times New Roman" w:hAnsi="Times New Roman" w:cs="Times New Roman"/>
        </w:rPr>
        <w:t xml:space="preserve"> and the role of these actors in shaping the potential for and limits of executive overreach and underreach. The</w:t>
      </w:r>
      <w:r w:rsidR="00657F8D">
        <w:rPr>
          <w:rFonts w:ascii="Times New Roman" w:hAnsi="Times New Roman" w:cs="Times New Roman"/>
        </w:rPr>
        <w:t xml:space="preserve"> former question is largely </w:t>
      </w:r>
      <w:r w:rsidR="00657F8D">
        <w:rPr>
          <w:rFonts w:ascii="Times New Roman" w:hAnsi="Times New Roman" w:cs="Times New Roman"/>
          <w:i/>
          <w:iCs/>
        </w:rPr>
        <w:t>tabula rasa,</w:t>
      </w:r>
      <w:r w:rsidR="00657F8D">
        <w:rPr>
          <w:rFonts w:ascii="Times New Roman" w:hAnsi="Times New Roman" w:cs="Times New Roman"/>
        </w:rPr>
        <w:t xml:space="preserve"> while the</w:t>
      </w:r>
      <w:r w:rsidR="00D672D9" w:rsidRPr="00DF2B53">
        <w:rPr>
          <w:rFonts w:ascii="Times New Roman" w:hAnsi="Times New Roman" w:cs="Times New Roman"/>
        </w:rPr>
        <w:t xml:space="preserve"> latter </w:t>
      </w:r>
      <w:r w:rsidR="00657F8D">
        <w:rPr>
          <w:rFonts w:ascii="Times New Roman" w:hAnsi="Times New Roman" w:cs="Times New Roman"/>
        </w:rPr>
        <w:t xml:space="preserve">one </w:t>
      </w:r>
      <w:r w:rsidR="00D672D9" w:rsidRPr="00DF2B53">
        <w:rPr>
          <w:rFonts w:ascii="Times New Roman" w:hAnsi="Times New Roman" w:cs="Times New Roman"/>
        </w:rPr>
        <w:t xml:space="preserve">has so far been discussed mainly </w:t>
      </w:r>
      <w:r w:rsidR="00F05ACE">
        <w:rPr>
          <w:rFonts w:ascii="Times New Roman" w:hAnsi="Times New Roman" w:cs="Times New Roman"/>
        </w:rPr>
        <w:t>through</w:t>
      </w:r>
      <w:r w:rsidR="00D672D9" w:rsidRPr="00DF2B53">
        <w:rPr>
          <w:rFonts w:ascii="Times New Roman" w:hAnsi="Times New Roman" w:cs="Times New Roman"/>
        </w:rPr>
        <w:t xml:space="preserve"> the supervisory and control</w:t>
      </w:r>
      <w:r w:rsidR="000A0DD9" w:rsidRPr="00DF2B53">
        <w:rPr>
          <w:rFonts w:ascii="Times New Roman" w:hAnsi="Times New Roman" w:cs="Times New Roman"/>
        </w:rPr>
        <w:t xml:space="preserve"> function of parliaments and court</w:t>
      </w:r>
      <w:r w:rsidR="005F1171">
        <w:rPr>
          <w:rFonts w:ascii="Times New Roman" w:hAnsi="Times New Roman" w:cs="Times New Roman"/>
        </w:rPr>
        <w:t>s</w:t>
      </w:r>
      <w:r w:rsidR="000A0DD9" w:rsidRPr="00DF2B53">
        <w:rPr>
          <w:rFonts w:ascii="Times New Roman" w:hAnsi="Times New Roman" w:cs="Times New Roman"/>
        </w:rPr>
        <w:t>,</w:t>
      </w:r>
      <w:r w:rsidR="0006443A" w:rsidRPr="00DF2B53">
        <w:rPr>
          <w:rFonts w:ascii="Times New Roman" w:hAnsi="Times New Roman" w:cs="Times New Roman"/>
        </w:rPr>
        <w:t xml:space="preserve"> primarily at the domestic and less at the regional and global levels,</w:t>
      </w:r>
      <w:r w:rsidR="008A6C48" w:rsidRPr="00DC52BD">
        <w:rPr>
          <w:rStyle w:val="FootnoteReference"/>
        </w:rPr>
        <w:footnoteReference w:id="105"/>
      </w:r>
      <w:r w:rsidR="000A0DD9" w:rsidRPr="00DF2B53">
        <w:rPr>
          <w:rFonts w:ascii="Times New Roman" w:hAnsi="Times New Roman" w:cs="Times New Roman"/>
        </w:rPr>
        <w:t xml:space="preserve"> </w:t>
      </w:r>
      <w:r w:rsidR="0006443A" w:rsidRPr="00DF2B53">
        <w:rPr>
          <w:rFonts w:ascii="Times New Roman" w:hAnsi="Times New Roman" w:cs="Times New Roman"/>
        </w:rPr>
        <w:t xml:space="preserve">with little focus on </w:t>
      </w:r>
      <w:r w:rsidR="000A0DD9" w:rsidRPr="00DF2B53">
        <w:rPr>
          <w:rFonts w:ascii="Times New Roman" w:hAnsi="Times New Roman" w:cs="Times New Roman"/>
        </w:rPr>
        <w:t>how these institutions migh</w:t>
      </w:r>
      <w:r w:rsidR="003476BE">
        <w:rPr>
          <w:rFonts w:ascii="Times New Roman" w:hAnsi="Times New Roman" w:cs="Times New Roman"/>
        </w:rPr>
        <w:t>t</w:t>
      </w:r>
      <w:r w:rsidR="000A0DD9" w:rsidRPr="00DF2B53">
        <w:rPr>
          <w:rFonts w:ascii="Times New Roman" w:hAnsi="Times New Roman" w:cs="Times New Roman"/>
        </w:rPr>
        <w:t xml:space="preserve"> enable or </w:t>
      </w:r>
      <w:r w:rsidR="003476BE">
        <w:rPr>
          <w:rFonts w:ascii="Times New Roman" w:hAnsi="Times New Roman" w:cs="Times New Roman"/>
        </w:rPr>
        <w:t xml:space="preserve">even </w:t>
      </w:r>
      <w:r w:rsidR="000A0DD9" w:rsidRPr="00DF2B53">
        <w:rPr>
          <w:rFonts w:ascii="Times New Roman" w:hAnsi="Times New Roman" w:cs="Times New Roman"/>
        </w:rPr>
        <w:t xml:space="preserve">facilitate </w:t>
      </w:r>
      <w:r w:rsidR="005F1171">
        <w:rPr>
          <w:rFonts w:ascii="Times New Roman" w:hAnsi="Times New Roman" w:cs="Times New Roman"/>
        </w:rPr>
        <w:t>overreach or underreach</w:t>
      </w:r>
      <w:r w:rsidR="000A0DD9" w:rsidRPr="00DF2B53">
        <w:rPr>
          <w:rFonts w:ascii="Times New Roman" w:hAnsi="Times New Roman" w:cs="Times New Roman"/>
        </w:rPr>
        <w:t xml:space="preserve">. </w:t>
      </w:r>
      <w:r w:rsidR="00657F8D">
        <w:rPr>
          <w:rFonts w:ascii="Times New Roman" w:hAnsi="Times New Roman" w:cs="Times New Roman"/>
        </w:rPr>
        <w:t>A</w:t>
      </w:r>
      <w:r w:rsidR="00271027" w:rsidRPr="00DF2B53">
        <w:rPr>
          <w:rFonts w:ascii="Times New Roman" w:hAnsi="Times New Roman" w:cs="Times New Roman"/>
        </w:rPr>
        <w:t xml:space="preserve"> second set of questions may be asked on the extent to which </w:t>
      </w:r>
      <w:r w:rsidR="00C02720" w:rsidRPr="00DF2B53">
        <w:rPr>
          <w:rFonts w:ascii="Times New Roman" w:hAnsi="Times New Roman" w:cs="Times New Roman"/>
        </w:rPr>
        <w:t>institutions and actors need to embrace a ‘role conception’ of emergency managers to avoid a state of panic, which may easily trigger overreach or underreach</w:t>
      </w:r>
      <w:r w:rsidR="00271027" w:rsidRPr="00DF2B53">
        <w:rPr>
          <w:rFonts w:ascii="Times New Roman" w:hAnsi="Times New Roman" w:cs="Times New Roman"/>
        </w:rPr>
        <w:t>.</w:t>
      </w:r>
      <w:r w:rsidR="00E60DF1" w:rsidRPr="00DF2B53">
        <w:rPr>
          <w:rFonts w:ascii="Times New Roman" w:hAnsi="Times New Roman" w:cs="Times New Roman"/>
        </w:rPr>
        <w:t xml:space="preserve"> </w:t>
      </w:r>
      <w:r w:rsidR="00851FB8">
        <w:rPr>
          <w:rFonts w:ascii="Times New Roman" w:hAnsi="Times New Roman" w:cs="Times New Roman"/>
        </w:rPr>
        <w:t>Limited</w:t>
      </w:r>
      <w:r w:rsidR="00BD5E94">
        <w:rPr>
          <w:rFonts w:ascii="Times New Roman" w:hAnsi="Times New Roman" w:cs="Times New Roman"/>
        </w:rPr>
        <w:t xml:space="preserve"> existing</w:t>
      </w:r>
      <w:r w:rsidR="00851FB8">
        <w:rPr>
          <w:rFonts w:ascii="Times New Roman" w:hAnsi="Times New Roman" w:cs="Times New Roman"/>
        </w:rPr>
        <w:t xml:space="preserve"> evidence</w:t>
      </w:r>
      <w:r w:rsidR="00BC596C">
        <w:rPr>
          <w:rFonts w:ascii="Times New Roman" w:hAnsi="Times New Roman" w:cs="Times New Roman"/>
        </w:rPr>
        <w:t xml:space="preserve"> and discussions</w:t>
      </w:r>
      <w:r w:rsidR="00851FB8">
        <w:rPr>
          <w:rFonts w:ascii="Times New Roman" w:hAnsi="Times New Roman" w:cs="Times New Roman"/>
        </w:rPr>
        <w:t xml:space="preserve"> point to the significance of such role internalizatio</w:t>
      </w:r>
      <w:r w:rsidR="00361BBB">
        <w:rPr>
          <w:rFonts w:ascii="Times New Roman" w:hAnsi="Times New Roman" w:cs="Times New Roman"/>
        </w:rPr>
        <w:t>n</w:t>
      </w:r>
      <w:r w:rsidR="00851FB8">
        <w:rPr>
          <w:rFonts w:ascii="Times New Roman" w:hAnsi="Times New Roman" w:cs="Times New Roman"/>
        </w:rPr>
        <w:t>.</w:t>
      </w:r>
      <w:r w:rsidR="0065679A" w:rsidRPr="00DC52BD">
        <w:rPr>
          <w:rStyle w:val="FootnoteReference"/>
        </w:rPr>
        <w:footnoteReference w:id="106"/>
      </w:r>
    </w:p>
    <w:p w14:paraId="5C3C59FB" w14:textId="77777777" w:rsidR="00E60DF1" w:rsidRPr="00DF2B53" w:rsidRDefault="00E60DF1" w:rsidP="003D5CAD">
      <w:pPr>
        <w:jc w:val="both"/>
        <w:rPr>
          <w:rFonts w:ascii="Times New Roman" w:hAnsi="Times New Roman" w:cs="Times New Roman"/>
        </w:rPr>
      </w:pPr>
    </w:p>
    <w:p w14:paraId="7AED2AD8" w14:textId="413EAC41" w:rsidR="00DC5C97" w:rsidRPr="00DF2B53" w:rsidRDefault="00657F8D" w:rsidP="003D5CAD">
      <w:pPr>
        <w:jc w:val="both"/>
        <w:rPr>
          <w:rFonts w:ascii="Times New Roman" w:hAnsi="Times New Roman" w:cs="Times New Roman"/>
        </w:rPr>
      </w:pPr>
      <w:r>
        <w:rPr>
          <w:rFonts w:ascii="Times New Roman" w:hAnsi="Times New Roman" w:cs="Times New Roman"/>
        </w:rPr>
        <w:t>E</w:t>
      </w:r>
      <w:r w:rsidR="00DC5C97" w:rsidRPr="00DF2B53">
        <w:rPr>
          <w:rFonts w:ascii="Times New Roman" w:hAnsi="Times New Roman" w:cs="Times New Roman"/>
        </w:rPr>
        <w:t>mergencies have become ubiquitous in contemporary societies</w:t>
      </w:r>
      <w:r w:rsidR="00B53212" w:rsidRPr="00DF2B53">
        <w:rPr>
          <w:rFonts w:ascii="Times New Roman" w:hAnsi="Times New Roman" w:cs="Times New Roman"/>
        </w:rPr>
        <w:t>, not least due to the widespread declaration</w:t>
      </w:r>
      <w:r w:rsidR="000D53CF">
        <w:rPr>
          <w:rFonts w:ascii="Times New Roman" w:hAnsi="Times New Roman" w:cs="Times New Roman"/>
        </w:rPr>
        <w:t>s</w:t>
      </w:r>
      <w:r w:rsidR="00B53212" w:rsidRPr="00DF2B53">
        <w:rPr>
          <w:rFonts w:ascii="Times New Roman" w:hAnsi="Times New Roman" w:cs="Times New Roman"/>
        </w:rPr>
        <w:t xml:space="preserve"> of ‘climate emergency’ </w:t>
      </w:r>
      <w:r w:rsidR="007F11E2" w:rsidRPr="00DF2B53">
        <w:rPr>
          <w:rFonts w:ascii="Times New Roman" w:hAnsi="Times New Roman" w:cs="Times New Roman"/>
        </w:rPr>
        <w:t>since 2019.</w:t>
      </w:r>
      <w:r w:rsidR="007F11E2" w:rsidRPr="00DC52BD">
        <w:rPr>
          <w:rStyle w:val="FootnoteReference"/>
        </w:rPr>
        <w:footnoteReference w:id="107"/>
      </w:r>
      <w:r w:rsidR="00DC5C97" w:rsidRPr="00DF2B53">
        <w:rPr>
          <w:rFonts w:ascii="Times New Roman" w:hAnsi="Times New Roman" w:cs="Times New Roman"/>
        </w:rPr>
        <w:t xml:space="preserve"> </w:t>
      </w:r>
      <w:r w:rsidR="006C584B" w:rsidRPr="00DF2B53">
        <w:rPr>
          <w:rFonts w:ascii="Times New Roman" w:hAnsi="Times New Roman" w:cs="Times New Roman"/>
        </w:rPr>
        <w:t xml:space="preserve">Scholars such as </w:t>
      </w:r>
      <w:proofErr w:type="spellStart"/>
      <w:r w:rsidR="006C584B" w:rsidRPr="00DF2B53">
        <w:rPr>
          <w:rFonts w:ascii="Times New Roman" w:hAnsi="Times New Roman" w:cs="Times New Roman"/>
        </w:rPr>
        <w:t>Pozen</w:t>
      </w:r>
      <w:proofErr w:type="spellEnd"/>
      <w:r w:rsidR="006C584B" w:rsidRPr="00DF2B53">
        <w:rPr>
          <w:rFonts w:ascii="Times New Roman" w:hAnsi="Times New Roman" w:cs="Times New Roman"/>
        </w:rPr>
        <w:t xml:space="preserve"> and </w:t>
      </w:r>
      <w:proofErr w:type="spellStart"/>
      <w:r w:rsidR="006C584B" w:rsidRPr="00DF2B53">
        <w:rPr>
          <w:rFonts w:ascii="Times New Roman" w:hAnsi="Times New Roman" w:cs="Times New Roman"/>
        </w:rPr>
        <w:t>Scheppele</w:t>
      </w:r>
      <w:proofErr w:type="spellEnd"/>
      <w:r w:rsidR="006C584B" w:rsidRPr="00DF2B53">
        <w:rPr>
          <w:rFonts w:ascii="Times New Roman" w:hAnsi="Times New Roman" w:cs="Times New Roman"/>
        </w:rPr>
        <w:t xml:space="preserve"> have helpfully emphasi</w:t>
      </w:r>
      <w:r w:rsidR="00FD7540" w:rsidRPr="00DF2B53">
        <w:rPr>
          <w:rFonts w:ascii="Times New Roman" w:hAnsi="Times New Roman" w:cs="Times New Roman"/>
        </w:rPr>
        <w:t>s</w:t>
      </w:r>
      <w:r w:rsidR="006C584B" w:rsidRPr="00DF2B53">
        <w:rPr>
          <w:rFonts w:ascii="Times New Roman" w:hAnsi="Times New Roman" w:cs="Times New Roman"/>
        </w:rPr>
        <w:t>ed that the</w:t>
      </w:r>
      <w:r w:rsidR="00521193" w:rsidRPr="00DF2B53">
        <w:rPr>
          <w:rFonts w:ascii="Times New Roman" w:hAnsi="Times New Roman" w:cs="Times New Roman"/>
        </w:rPr>
        <w:t>y may coincide not only the abuse, but also the underuse of public powers when addressing them. As this article shows, th</w:t>
      </w:r>
      <w:r w:rsidR="00A925CC" w:rsidRPr="00DF2B53">
        <w:rPr>
          <w:rFonts w:ascii="Times New Roman" w:hAnsi="Times New Roman" w:cs="Times New Roman"/>
        </w:rPr>
        <w:t xml:space="preserve">e same is true for the </w:t>
      </w:r>
      <w:proofErr w:type="spellStart"/>
      <w:r w:rsidR="00A925CC" w:rsidRPr="00DF2B53">
        <w:rPr>
          <w:rFonts w:ascii="Times New Roman" w:hAnsi="Times New Roman" w:cs="Times New Roman"/>
        </w:rPr>
        <w:t>SoE</w:t>
      </w:r>
      <w:proofErr w:type="spellEnd"/>
      <w:r w:rsidR="00A925CC" w:rsidRPr="00DF2B53">
        <w:rPr>
          <w:rFonts w:ascii="Times New Roman" w:hAnsi="Times New Roman" w:cs="Times New Roman"/>
        </w:rPr>
        <w:t xml:space="preserve"> as a </w:t>
      </w:r>
      <w:r w:rsidR="00A925CC" w:rsidRPr="00DF2B53">
        <w:rPr>
          <w:rFonts w:ascii="Times New Roman" w:hAnsi="Times New Roman" w:cs="Times New Roman"/>
          <w:i/>
          <w:iCs/>
        </w:rPr>
        <w:t xml:space="preserve">legal institution, </w:t>
      </w:r>
      <w:r w:rsidR="00A925CC" w:rsidRPr="00DF2B53">
        <w:rPr>
          <w:rFonts w:ascii="Times New Roman" w:hAnsi="Times New Roman" w:cs="Times New Roman"/>
        </w:rPr>
        <w:t xml:space="preserve">which is typically invoked by the executive. Even though this institution concentrates and extends the use of public powers </w:t>
      </w:r>
      <w:r w:rsidR="00A925CC" w:rsidRPr="00DF2B53">
        <w:rPr>
          <w:rFonts w:ascii="Times New Roman" w:hAnsi="Times New Roman" w:cs="Times New Roman"/>
          <w:i/>
          <w:iCs/>
        </w:rPr>
        <w:t xml:space="preserve">per </w:t>
      </w:r>
      <w:proofErr w:type="spellStart"/>
      <w:r w:rsidR="00A925CC" w:rsidRPr="00DF2B53">
        <w:rPr>
          <w:rFonts w:ascii="Times New Roman" w:hAnsi="Times New Roman" w:cs="Times New Roman"/>
          <w:i/>
          <w:iCs/>
        </w:rPr>
        <w:t>definitionem</w:t>
      </w:r>
      <w:proofErr w:type="spellEnd"/>
      <w:r w:rsidR="00A925CC" w:rsidRPr="00DF2B53">
        <w:rPr>
          <w:rFonts w:ascii="Times New Roman" w:hAnsi="Times New Roman" w:cs="Times New Roman"/>
          <w:i/>
          <w:iCs/>
        </w:rPr>
        <w:t xml:space="preserve">, </w:t>
      </w:r>
      <w:r w:rsidR="00245EBF" w:rsidRPr="00DF2B53">
        <w:rPr>
          <w:rFonts w:ascii="Times New Roman" w:hAnsi="Times New Roman" w:cs="Times New Roman"/>
        </w:rPr>
        <w:t>in practice, it may coincide with overreach as well as underreach, even simultaneously.</w:t>
      </w:r>
      <w:r w:rsidR="00790BE5" w:rsidRPr="00DF2B53">
        <w:rPr>
          <w:rFonts w:ascii="Times New Roman" w:hAnsi="Times New Roman" w:cs="Times New Roman"/>
        </w:rPr>
        <w:t xml:space="preserve"> Moreover, under the conditions of a </w:t>
      </w:r>
      <w:proofErr w:type="spellStart"/>
      <w:r w:rsidR="00790BE5" w:rsidRPr="00DF2B53">
        <w:rPr>
          <w:rFonts w:ascii="Times New Roman" w:hAnsi="Times New Roman" w:cs="Times New Roman"/>
        </w:rPr>
        <w:t>SoE</w:t>
      </w:r>
      <w:proofErr w:type="spellEnd"/>
      <w:r w:rsidR="00790BE5" w:rsidRPr="00DF2B53">
        <w:rPr>
          <w:rFonts w:ascii="Times New Roman" w:hAnsi="Times New Roman" w:cs="Times New Roman"/>
        </w:rPr>
        <w:t xml:space="preserve">, the absence of justifications for political decisions </w:t>
      </w:r>
      <w:r>
        <w:rPr>
          <w:rFonts w:ascii="Times New Roman" w:hAnsi="Times New Roman" w:cs="Times New Roman"/>
        </w:rPr>
        <w:t>amounts to</w:t>
      </w:r>
      <w:r w:rsidR="00577740" w:rsidRPr="00DF2B53">
        <w:rPr>
          <w:rFonts w:ascii="Times New Roman" w:hAnsi="Times New Roman" w:cs="Times New Roman"/>
        </w:rPr>
        <w:t xml:space="preserve"> overreach </w:t>
      </w:r>
      <w:r w:rsidR="00577740" w:rsidRPr="00DF2B53">
        <w:rPr>
          <w:rFonts w:ascii="Times New Roman" w:hAnsi="Times New Roman" w:cs="Times New Roman"/>
          <w:i/>
          <w:iCs/>
        </w:rPr>
        <w:t xml:space="preserve">even if </w:t>
      </w:r>
      <w:r w:rsidR="00577740" w:rsidRPr="00DF2B53">
        <w:rPr>
          <w:rFonts w:ascii="Times New Roman" w:hAnsi="Times New Roman" w:cs="Times New Roman"/>
        </w:rPr>
        <w:t xml:space="preserve">it is coupled with the executive </w:t>
      </w:r>
      <w:r w:rsidR="00577740" w:rsidRPr="00DF2B53">
        <w:rPr>
          <w:rFonts w:ascii="Times New Roman" w:hAnsi="Times New Roman" w:cs="Times New Roman"/>
          <w:i/>
          <w:iCs/>
        </w:rPr>
        <w:t xml:space="preserve">not acting </w:t>
      </w:r>
      <w:r w:rsidR="00577740" w:rsidRPr="00DF2B53">
        <w:rPr>
          <w:rFonts w:ascii="Times New Roman" w:hAnsi="Times New Roman" w:cs="Times New Roman"/>
        </w:rPr>
        <w:t>when, by all reasonable performance standards,</w:t>
      </w:r>
      <w:r w:rsidR="00712E85" w:rsidRPr="00DC52BD">
        <w:rPr>
          <w:rStyle w:val="FootnoteReference"/>
        </w:rPr>
        <w:footnoteReference w:id="108"/>
      </w:r>
      <w:r w:rsidR="00577740" w:rsidRPr="00DF2B53">
        <w:rPr>
          <w:rFonts w:ascii="Times New Roman" w:hAnsi="Times New Roman" w:cs="Times New Roman"/>
        </w:rPr>
        <w:t xml:space="preserve"> it </w:t>
      </w:r>
      <w:r w:rsidR="0077659F" w:rsidRPr="00DF2B53">
        <w:rPr>
          <w:rFonts w:ascii="Times New Roman" w:hAnsi="Times New Roman" w:cs="Times New Roman"/>
        </w:rPr>
        <w:t>ought to act.</w:t>
      </w:r>
      <w:r w:rsidR="00790BE5" w:rsidRPr="00DF2B53">
        <w:rPr>
          <w:rFonts w:ascii="Times New Roman" w:hAnsi="Times New Roman" w:cs="Times New Roman"/>
        </w:rPr>
        <w:t xml:space="preserve"> </w:t>
      </w:r>
      <w:r w:rsidR="00481A0A" w:rsidRPr="00DF2B53">
        <w:rPr>
          <w:rFonts w:ascii="Times New Roman" w:hAnsi="Times New Roman" w:cs="Times New Roman"/>
        </w:rPr>
        <w:t>In the end, unjustified decisions</w:t>
      </w:r>
      <w:r w:rsidR="00587F18">
        <w:rPr>
          <w:rFonts w:ascii="Times New Roman" w:hAnsi="Times New Roman" w:cs="Times New Roman"/>
        </w:rPr>
        <w:t xml:space="preserve"> on emergencies</w:t>
      </w:r>
      <w:r w:rsidR="00481A0A" w:rsidRPr="00DF2B53">
        <w:rPr>
          <w:rFonts w:ascii="Times New Roman" w:hAnsi="Times New Roman" w:cs="Times New Roman"/>
        </w:rPr>
        <w:t xml:space="preserve"> </w:t>
      </w:r>
      <w:r w:rsidR="00971019" w:rsidRPr="00DF2B53">
        <w:rPr>
          <w:rFonts w:ascii="Times New Roman" w:hAnsi="Times New Roman" w:cs="Times New Roman"/>
        </w:rPr>
        <w:t>hamper the possibility to perceive the actors behind them as democratic</w:t>
      </w:r>
      <w:r w:rsidR="008F61DB" w:rsidRPr="00DF2B53">
        <w:rPr>
          <w:rFonts w:ascii="Times New Roman" w:hAnsi="Times New Roman" w:cs="Times New Roman"/>
        </w:rPr>
        <w:t>,</w:t>
      </w:r>
      <w:r w:rsidR="005B32E0" w:rsidRPr="00DF2B53">
        <w:rPr>
          <w:rFonts w:ascii="Times New Roman" w:hAnsi="Times New Roman" w:cs="Times New Roman"/>
        </w:rPr>
        <w:t xml:space="preserve"> with the authority of the legal </w:t>
      </w:r>
      <w:r w:rsidR="007709E1">
        <w:rPr>
          <w:rFonts w:ascii="Times New Roman" w:hAnsi="Times New Roman" w:cs="Times New Roman"/>
        </w:rPr>
        <w:t>mechanisms</w:t>
      </w:r>
      <w:r w:rsidR="005B32E0" w:rsidRPr="00DF2B53">
        <w:rPr>
          <w:rFonts w:ascii="Times New Roman" w:hAnsi="Times New Roman" w:cs="Times New Roman"/>
        </w:rPr>
        <w:t xml:space="preserve"> they used suffering as a result</w:t>
      </w:r>
      <w:r w:rsidR="00587F18">
        <w:rPr>
          <w:rFonts w:ascii="Times New Roman" w:hAnsi="Times New Roman" w:cs="Times New Roman"/>
        </w:rPr>
        <w:t xml:space="preserve"> and complicating the response to the next emergency</w:t>
      </w:r>
      <w:r w:rsidR="005B32E0" w:rsidRPr="00DF2B53">
        <w:rPr>
          <w:rFonts w:ascii="Times New Roman" w:hAnsi="Times New Roman" w:cs="Times New Roman"/>
        </w:rPr>
        <w:t xml:space="preserve">. </w:t>
      </w:r>
    </w:p>
    <w:sectPr w:rsidR="00DC5C97" w:rsidRPr="00DF2B53" w:rsidSect="00E67E8D">
      <w:footnotePr>
        <w:numRestart w:val="eachSect"/>
      </w:footnotePr>
      <w:type w:val="continuous"/>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FBA47" w14:textId="77777777" w:rsidR="00E1351C" w:rsidRDefault="00E1351C" w:rsidP="00857DB1">
      <w:r>
        <w:separator/>
      </w:r>
    </w:p>
  </w:endnote>
  <w:endnote w:type="continuationSeparator" w:id="0">
    <w:p w14:paraId="232BE3B1" w14:textId="77777777" w:rsidR="00E1351C" w:rsidRDefault="00E1351C" w:rsidP="00857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3688731"/>
      <w:docPartObj>
        <w:docPartGallery w:val="Page Numbers (Bottom of Page)"/>
        <w:docPartUnique/>
      </w:docPartObj>
    </w:sdtPr>
    <w:sdtEndPr>
      <w:rPr>
        <w:rFonts w:ascii="Times New Roman" w:hAnsi="Times New Roman" w:cs="Times New Roman"/>
        <w:noProof/>
        <w:sz w:val="20"/>
        <w:szCs w:val="20"/>
      </w:rPr>
    </w:sdtEndPr>
    <w:sdtContent>
      <w:p w14:paraId="03F1A6DD" w14:textId="76BE3592" w:rsidR="00F06263" w:rsidRPr="00F06263" w:rsidRDefault="00F06263" w:rsidP="00F06263">
        <w:pPr>
          <w:pStyle w:val="Footer"/>
          <w:jc w:val="center"/>
          <w:rPr>
            <w:rFonts w:ascii="Times New Roman" w:hAnsi="Times New Roman" w:cs="Times New Roman"/>
            <w:sz w:val="20"/>
            <w:szCs w:val="20"/>
          </w:rPr>
        </w:pPr>
        <w:r w:rsidRPr="00F06263">
          <w:rPr>
            <w:rFonts w:ascii="Times New Roman" w:hAnsi="Times New Roman" w:cs="Times New Roman"/>
            <w:sz w:val="20"/>
            <w:szCs w:val="20"/>
          </w:rPr>
          <w:fldChar w:fldCharType="begin"/>
        </w:r>
        <w:r w:rsidRPr="00F06263">
          <w:rPr>
            <w:rFonts w:ascii="Times New Roman" w:hAnsi="Times New Roman" w:cs="Times New Roman"/>
            <w:sz w:val="20"/>
            <w:szCs w:val="20"/>
          </w:rPr>
          <w:instrText xml:space="preserve"> PAGE   \* MERGEFORMAT </w:instrText>
        </w:r>
        <w:r w:rsidRPr="00F06263">
          <w:rPr>
            <w:rFonts w:ascii="Times New Roman" w:hAnsi="Times New Roman" w:cs="Times New Roman"/>
            <w:sz w:val="20"/>
            <w:szCs w:val="20"/>
          </w:rPr>
          <w:fldChar w:fldCharType="separate"/>
        </w:r>
        <w:r w:rsidRPr="00F06263">
          <w:rPr>
            <w:rFonts w:ascii="Times New Roman" w:hAnsi="Times New Roman" w:cs="Times New Roman"/>
            <w:sz w:val="20"/>
            <w:szCs w:val="20"/>
          </w:rPr>
          <w:t>1</w:t>
        </w:r>
        <w:r w:rsidRPr="00F06263">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F1D02" w14:textId="77777777" w:rsidR="00E1351C" w:rsidRDefault="00E1351C" w:rsidP="00857DB1">
      <w:r>
        <w:separator/>
      </w:r>
    </w:p>
  </w:footnote>
  <w:footnote w:type="continuationSeparator" w:id="0">
    <w:p w14:paraId="36264286" w14:textId="77777777" w:rsidR="00E1351C" w:rsidRDefault="00E1351C" w:rsidP="00857DB1">
      <w:r>
        <w:continuationSeparator/>
      </w:r>
    </w:p>
  </w:footnote>
  <w:footnote w:id="1">
    <w:p w14:paraId="57EC3453" w14:textId="1C6C1A05" w:rsidR="00E67E8D" w:rsidRPr="008E1A5A" w:rsidRDefault="00E67E8D" w:rsidP="00E67E8D">
      <w:pPr>
        <w:pStyle w:val="FootnoteText"/>
        <w:jc w:val="both"/>
        <w:rPr>
          <w:rFonts w:ascii="Times New Roman" w:hAnsi="Times New Roman" w:cs="Times New Roman"/>
        </w:rPr>
      </w:pPr>
      <w:r w:rsidRPr="00DC52BD">
        <w:rPr>
          <w:rStyle w:val="FootnoteReference"/>
        </w:rPr>
        <w:footnoteRef/>
      </w:r>
      <w:r w:rsidRPr="008E1A5A">
        <w:rPr>
          <w:rFonts w:ascii="Times New Roman" w:hAnsi="Times New Roman" w:cs="Times New Roman"/>
        </w:rPr>
        <w:t xml:space="preserve"> </w:t>
      </w:r>
      <w:r>
        <w:rPr>
          <w:rFonts w:ascii="Times New Roman" w:hAnsi="Times New Roman" w:cs="Times New Roman"/>
        </w:rPr>
        <w:t xml:space="preserve">O.P. Jindal Global University, Jindal Global Law School, India – Comenius University in Bratislava, Department of Political Science, Slovakia. The valuable feedback of the participants of the 2022 International Society of Public Law Annual Conference and the anonymous reviewer to earlier drafts of the manuscript is gratefully acknowledged. </w:t>
      </w:r>
      <w:r w:rsidR="005840DF">
        <w:rPr>
          <w:rFonts w:ascii="Times New Roman" w:hAnsi="Times New Roman" w:cs="Times New Roman"/>
        </w:rPr>
        <w:t xml:space="preserve">The usual disclaimer applies. </w:t>
      </w:r>
      <w:r>
        <w:rPr>
          <w:rFonts w:ascii="Times New Roman" w:hAnsi="Times New Roman" w:cs="Times New Roman"/>
        </w:rPr>
        <w:t>Funding provided by the National Science Centre, Poland (grant no. DEC-</w:t>
      </w:r>
      <w:r w:rsidRPr="008E44A6">
        <w:rPr>
          <w:rFonts w:ascii="Times New Roman" w:hAnsi="Times New Roman" w:cs="Times New Roman"/>
        </w:rPr>
        <w:t>2020/37/B/HS5/02756</w:t>
      </w:r>
      <w:r>
        <w:rPr>
          <w:rFonts w:ascii="Times New Roman" w:hAnsi="Times New Roman" w:cs="Times New Roman"/>
        </w:rPr>
        <w:t>).</w:t>
      </w:r>
    </w:p>
  </w:footnote>
  <w:footnote w:id="2">
    <w:p w14:paraId="3DF556EC" w14:textId="77777777" w:rsidR="009F794F" w:rsidRPr="00752C15" w:rsidRDefault="009F794F" w:rsidP="009F794F">
      <w:pPr>
        <w:pStyle w:val="FootnoteText"/>
        <w:jc w:val="both"/>
        <w:rPr>
          <w:rFonts w:ascii="Times New Roman" w:hAnsi="Times New Roman" w:cs="Times New Roman"/>
          <w:lang w:val="en-US"/>
        </w:rPr>
      </w:pPr>
      <w:r w:rsidRPr="00DC52BD">
        <w:rPr>
          <w:rStyle w:val="FootnoteReference"/>
        </w:rPr>
        <w:footnoteRef/>
      </w:r>
      <w:r w:rsidRPr="00752C15">
        <w:rPr>
          <w:rFonts w:ascii="Times New Roman" w:hAnsi="Times New Roman" w:cs="Times New Roman"/>
        </w:rPr>
        <w:t xml:space="preserve"> </w:t>
      </w:r>
      <w:r w:rsidRPr="00752C15">
        <w:rPr>
          <w:rFonts w:ascii="Times New Roman" w:hAnsi="Times New Roman" w:cs="Times New Roman"/>
          <w:lang w:val="en-US"/>
        </w:rPr>
        <w:t xml:space="preserve">All online sources were accessible as to 30 August 2023. </w:t>
      </w:r>
    </w:p>
  </w:footnote>
  <w:footnote w:id="3">
    <w:p w14:paraId="578339F2" w14:textId="26E0682B" w:rsidR="00F24299" w:rsidRPr="00752C15" w:rsidRDefault="00F24299" w:rsidP="00752C15">
      <w:pPr>
        <w:pStyle w:val="FootnoteText"/>
        <w:jc w:val="both"/>
        <w:rPr>
          <w:rFonts w:ascii="Times New Roman" w:hAnsi="Times New Roman" w:cs="Times New Roman"/>
          <w:lang w:val="sk-SK"/>
        </w:rPr>
      </w:pPr>
      <w:r w:rsidRPr="00DC52BD">
        <w:rPr>
          <w:rStyle w:val="FootnoteReference"/>
        </w:rPr>
        <w:footnoteRef/>
      </w:r>
      <w:r w:rsidRPr="00752C15">
        <w:rPr>
          <w:rFonts w:ascii="Times New Roman" w:hAnsi="Times New Roman" w:cs="Times New Roman"/>
        </w:rPr>
        <w:t xml:space="preserve"> </w:t>
      </w:r>
      <w:r w:rsidRPr="00752C15">
        <w:rPr>
          <w:rFonts w:ascii="Times New Roman" w:hAnsi="Times New Roman" w:cs="Times New Roman"/>
        </w:rPr>
        <w:fldChar w:fldCharType="begin"/>
      </w:r>
      <w:r w:rsidR="003F255E" w:rsidRPr="00752C15">
        <w:rPr>
          <w:rFonts w:ascii="Times New Roman" w:hAnsi="Times New Roman" w:cs="Times New Roman"/>
        </w:rPr>
        <w:instrText xml:space="preserve"> ADDIN ZOTERO_ITEM CSL_CITATION {"citationID":"KJCr40Wy","properties":{"formattedCitation":"See Federica Paddeu and Michael Waibel, \\uc0\\u8216{}The Final Act: Exploring the End of Pandemics\\uc0\\u8217{} (2020) 114 American Journal of International Law 698, 706.","plainCitation":"See Federica Paddeu and Michael Waibel, ‘The Final Act: Exploring the End of Pandemics’ (2020) 114 American Journal of International Law 698, 706.","noteIndex":2},"citationItems":[{"id":10788,"uris":["http://zotero.org/users/2073125/items/FCDCL9FH"],"itemData":{"id":10788,"type":"article-journal","abstract":"This Essay considers how adjudicators could determine the end of the SARS-Cov-2 pandemic. Considerable work examines the beginning and existence of pandemics and emergencies. By contrast, when either of these two phenomena end remains underexplored—creating legal uncertainty. This Essay reviews how pandemics as biological and social events end, considers how international bodies have approached the end of emergencies, and assesses what this might mean for adjudicators deciding on the end of the SARS-Cov-2 pandemic and related public health emergency.","container-title":"American Journal of International Law","DOI":"10.1017/ajil.2020.63","ISSN":"0002-9300, 2161-7953","issue":"4","language":"en","note":"publisher: Cambridge University Press","page":"698-707","source":"Cambridge University Press","title":"The Final Act: Exploring the End of Pandemics","title-short":"The Final Act","volume":"114","author":[{"family":"Paddeu","given":"Federica"},{"family":"Waibel","given":"Michael"}],"issued":{"date-parts":[["2020",10]]}},"locator":"706","label":"page","prefix":"See"}],"schema":"https://github.com/citation-style-language/schema/raw/master/csl-citation.json"} </w:instrText>
      </w:r>
      <w:r w:rsidRPr="00752C15">
        <w:rPr>
          <w:rFonts w:ascii="Times New Roman" w:hAnsi="Times New Roman" w:cs="Times New Roman"/>
        </w:rPr>
        <w:fldChar w:fldCharType="separate"/>
      </w:r>
      <w:r w:rsidR="00BF3BC4" w:rsidRPr="00752C15">
        <w:rPr>
          <w:rFonts w:ascii="Times New Roman" w:hAnsi="Times New Roman" w:cs="Times New Roman"/>
        </w:rPr>
        <w:t>See Federica Paddeu and Michael Waibel, ‘The Final Act: Exploring the End of Pandemics’ (2020) 114 American Journal of International Law 698, 706.</w:t>
      </w:r>
      <w:r w:rsidRPr="00752C15">
        <w:rPr>
          <w:rFonts w:ascii="Times New Roman" w:hAnsi="Times New Roman" w:cs="Times New Roman"/>
        </w:rPr>
        <w:fldChar w:fldCharType="end"/>
      </w:r>
    </w:p>
  </w:footnote>
  <w:footnote w:id="4">
    <w:p w14:paraId="7B3421F6" w14:textId="21B6B6F4" w:rsidR="006F71F3" w:rsidRPr="00752C15" w:rsidRDefault="006F71F3" w:rsidP="00752C15">
      <w:pPr>
        <w:pStyle w:val="FootnoteText"/>
        <w:jc w:val="both"/>
        <w:rPr>
          <w:rFonts w:ascii="Times New Roman" w:hAnsi="Times New Roman" w:cs="Times New Roman"/>
          <w:lang w:val="en-IN"/>
        </w:rPr>
      </w:pPr>
      <w:r w:rsidRPr="00DC52BD">
        <w:rPr>
          <w:rStyle w:val="FootnoteReference"/>
        </w:rPr>
        <w:footnoteRef/>
      </w:r>
      <w:r w:rsidRPr="00752C15">
        <w:rPr>
          <w:rFonts w:ascii="Times New Roman" w:hAnsi="Times New Roman" w:cs="Times New Roman"/>
        </w:rPr>
        <w:t xml:space="preserve"> </w:t>
      </w:r>
      <w:r w:rsidRPr="00752C15">
        <w:rPr>
          <w:rFonts w:ascii="Times New Roman" w:hAnsi="Times New Roman" w:cs="Times New Roman"/>
        </w:rPr>
        <w:fldChar w:fldCharType="begin"/>
      </w:r>
      <w:r w:rsidR="003F255E" w:rsidRPr="00752C15">
        <w:rPr>
          <w:rFonts w:ascii="Times New Roman" w:hAnsi="Times New Roman" w:cs="Times New Roman"/>
        </w:rPr>
        <w:instrText xml:space="preserve"> ADDIN ZOTERO_ITEM CSL_CITATION {"citationID":"Yj2Sk2ah","properties":{"formattedCitation":"Daniel Innerarity, \\uc0\\u8216{}Political Decision-Making in a Pandemic\\uc0\\u8217{} in Gerard Delanty (ed), {\\i{}Pandemics, Politics, and Society} (De Gruyter 2021).","plainCitation":"Daniel Innerarity, ‘Political Decision-Making in a Pandemic’ in Gerard Delanty (ed), Pandemics, Politics, and Society (De Gruyter 2021).","noteIndex":3},"citationItems":[{"id":4571,"uris":["http://zotero.org/users/2073125/items/MBA7CVBF"],"itemData":{"id":4571,"type":"chapter","container-title":"Pandemics, Politics, and Society","event-place":"Berlin/Boston","ISBN":"978-3-11-071335-0","language":"en","note":"DOI: 10.1515/9783110713350-004","page":"93-103","publisher":"De Gruyter","publisher-place":"Berlin/Boston","source":"www.degruyter.com","title":"Political Decision-Making in a Pandemic","author":[{"family":"Innerarity","given":"Daniel"}],"editor":[{"family":"Delanty","given":"Gerard"}],"issued":{"date-parts":[["2021",2,22]]}}}],"schema":"https://github.com/citation-style-language/schema/raw/master/csl-citation.json"} </w:instrText>
      </w:r>
      <w:r w:rsidRPr="00752C15">
        <w:rPr>
          <w:rFonts w:ascii="Times New Roman" w:hAnsi="Times New Roman" w:cs="Times New Roman"/>
        </w:rPr>
        <w:fldChar w:fldCharType="separate"/>
      </w:r>
      <w:r w:rsidR="00BF3BC4" w:rsidRPr="00752C15">
        <w:rPr>
          <w:rFonts w:ascii="Times New Roman" w:hAnsi="Times New Roman" w:cs="Times New Roman"/>
        </w:rPr>
        <w:t xml:space="preserve">Daniel Innerarity, ‘Political Decision-Making in a Pandemic’ in Gerard Delanty (ed), </w:t>
      </w:r>
      <w:r w:rsidR="00BF3BC4" w:rsidRPr="00752C15">
        <w:rPr>
          <w:rFonts w:ascii="Times New Roman" w:hAnsi="Times New Roman" w:cs="Times New Roman"/>
          <w:i/>
          <w:iCs/>
        </w:rPr>
        <w:t>Pandemics, Politics, and Society</w:t>
      </w:r>
      <w:r w:rsidR="00BF3BC4" w:rsidRPr="00752C15">
        <w:rPr>
          <w:rFonts w:ascii="Times New Roman" w:hAnsi="Times New Roman" w:cs="Times New Roman"/>
        </w:rPr>
        <w:t xml:space="preserve"> (De Gruyter 2021).</w:t>
      </w:r>
      <w:r w:rsidRPr="00752C15">
        <w:rPr>
          <w:rFonts w:ascii="Times New Roman" w:hAnsi="Times New Roman" w:cs="Times New Roman"/>
        </w:rPr>
        <w:fldChar w:fldCharType="end"/>
      </w:r>
    </w:p>
  </w:footnote>
  <w:footnote w:id="5">
    <w:p w14:paraId="3A78CDA9" w14:textId="1B58AB46" w:rsidR="00BB1B50" w:rsidRPr="00752C15" w:rsidRDefault="00BB1B50" w:rsidP="00752C15">
      <w:pPr>
        <w:pStyle w:val="FootnoteText"/>
        <w:jc w:val="both"/>
        <w:rPr>
          <w:rFonts w:ascii="Times New Roman" w:hAnsi="Times New Roman" w:cs="Times New Roman"/>
        </w:rPr>
      </w:pPr>
      <w:r w:rsidRPr="00DC52BD">
        <w:rPr>
          <w:rStyle w:val="FootnoteReference"/>
        </w:rPr>
        <w:footnoteRef/>
      </w:r>
      <w:r w:rsidRPr="00752C15">
        <w:rPr>
          <w:rFonts w:ascii="Times New Roman" w:hAnsi="Times New Roman" w:cs="Times New Roman"/>
        </w:rPr>
        <w:t xml:space="preserve"> As Grogan puts it: ‘In such a complex, polycentric and multifaceted emergency as the global COVID- 19 pandemic, a central question was who should be the dominant decision-maker, and how should decisions be made’</w:t>
      </w:r>
      <w:r w:rsidR="00BE48C3" w:rsidRPr="00752C15">
        <w:rPr>
          <w:rFonts w:ascii="Times New Roman" w:hAnsi="Times New Roman" w:cs="Times New Roman"/>
        </w:rPr>
        <w:t xml:space="preserve">. </w:t>
      </w:r>
      <w:r w:rsidR="00BE48C3" w:rsidRPr="00752C15">
        <w:rPr>
          <w:rFonts w:ascii="Times New Roman" w:hAnsi="Times New Roman" w:cs="Times New Roman"/>
        </w:rPr>
        <w:fldChar w:fldCharType="begin"/>
      </w:r>
      <w:r w:rsidR="003F255E" w:rsidRPr="00752C15">
        <w:rPr>
          <w:rFonts w:ascii="Times New Roman" w:hAnsi="Times New Roman" w:cs="Times New Roman"/>
        </w:rPr>
        <w:instrText xml:space="preserve"> ADDIN ZOTERO_ITEM CSL_CITATION {"citationID":"fFnennp2","properties":{"formattedCitation":"Joelle Grogan, \\uc0\\u8216{}COVID-19, The Rule of Law and Democracy. Analysis of Legal Responses to a Global Health Crisis\\uc0\\u8217{} (2022) 14 Hague Journal on the Rule of Law 349, 352.","plainCitation":"Joelle Grogan, ‘COVID-19, The Rule of Law and Democracy. Analysis of Legal Responses to a Global Health Crisis’ (2022) 14 Hague Journal on the Rule of Law 349, 352.","noteIndex":4},"citationItems":[{"id":4598,"uris":["http://zotero.org/users/2073125/items/ZKA4HWKG"],"itemData":{"id":4598,"type":"article-journal","abstract":"The COVID-19 pandemic caused a severe strain on health systems globally, while simultaneously presenting a social, economic, legal, political, and regulatory challenge. Where the efficacy of pandemic laws adopted by governments are a matter of life and death, the urgency with which action needs to be taken during a pandemic creates a law-making environment which incentivises rapid action without scrutiny and the use of power without restraint. Under such conditions, adherence to the foundational values of democracy and the rule of law come under increased pressure if not threat. The demands of emergency provide a convenient guise and means of justification for the use of power which only serves to consolidate power within the executive to the detriment of the separation of powers and weakening of the institutions of liberal democracy. This article provides a preliminary analysis on how the global health crisis has affected the state of democracy and the rule of law. While the specific examples are drawn from across the globe to highlight common trends and concerns, specific highlight is given to the EU and its Member States. It offers an outlook on how to prepare for future emergencies by building on the lessons of the current one.","container-title":"Hague Journal on the Rule of Law","DOI":"10.1007/s40803-022-00168-8","ISSN":"1876-4053","issue":"2-3","journalAbbreviation":"Hague J Rule Law","language":"en","page":"349–369","source":"Springer Link","title":"COVID-19, The Rule of Law and Democracy. Analysis of Legal Responses to a Global Health Crisis","volume":"14","author":[{"family":"Grogan","given":"Joelle"}],"issued":{"date-parts":[["2022",3,15]]}},"locator":"352","label":"page"}],"schema":"https://github.com/citation-style-language/schema/raw/master/csl-citation.json"} </w:instrText>
      </w:r>
      <w:r w:rsidR="00BE48C3" w:rsidRPr="00752C15">
        <w:rPr>
          <w:rFonts w:ascii="Times New Roman" w:hAnsi="Times New Roman" w:cs="Times New Roman"/>
        </w:rPr>
        <w:fldChar w:fldCharType="separate"/>
      </w:r>
      <w:r w:rsidR="00BF3BC4" w:rsidRPr="00752C15">
        <w:rPr>
          <w:rFonts w:ascii="Times New Roman" w:hAnsi="Times New Roman" w:cs="Times New Roman"/>
        </w:rPr>
        <w:t>Joelle Grogan, ‘COVID-19, The Rule of Law and Democracy. Analysis of Legal Responses to a Global Health Crisis’ (2022) 14 Hague Journal on the Rule of Law 349, 352.</w:t>
      </w:r>
      <w:r w:rsidR="00BE48C3" w:rsidRPr="00752C15">
        <w:rPr>
          <w:rFonts w:ascii="Times New Roman" w:hAnsi="Times New Roman" w:cs="Times New Roman"/>
        </w:rPr>
        <w:fldChar w:fldCharType="end"/>
      </w:r>
    </w:p>
  </w:footnote>
  <w:footnote w:id="6">
    <w:p w14:paraId="7214A899" w14:textId="48AB38DF" w:rsidR="00151395" w:rsidRPr="00752C15" w:rsidRDefault="00151395" w:rsidP="00752C15">
      <w:pPr>
        <w:pStyle w:val="FootnoteText"/>
        <w:jc w:val="both"/>
        <w:rPr>
          <w:rFonts w:ascii="Times New Roman" w:hAnsi="Times New Roman" w:cs="Times New Roman"/>
          <w:lang w:val="en-US"/>
        </w:rPr>
      </w:pPr>
      <w:r w:rsidRPr="00DC52BD">
        <w:rPr>
          <w:rStyle w:val="FootnoteReference"/>
        </w:rPr>
        <w:footnoteRef/>
      </w:r>
      <w:r w:rsidRPr="00752C15">
        <w:rPr>
          <w:rFonts w:ascii="Times New Roman" w:hAnsi="Times New Roman" w:cs="Times New Roman"/>
        </w:rPr>
        <w:t xml:space="preserve"> </w:t>
      </w:r>
      <w:r w:rsidRPr="00752C15">
        <w:rPr>
          <w:rFonts w:ascii="Times New Roman" w:hAnsi="Times New Roman" w:cs="Times New Roman"/>
        </w:rPr>
        <w:fldChar w:fldCharType="begin"/>
      </w:r>
      <w:r w:rsidR="00DA692E" w:rsidRPr="00752C15">
        <w:rPr>
          <w:rFonts w:ascii="Times New Roman" w:hAnsi="Times New Roman" w:cs="Times New Roman"/>
        </w:rPr>
        <w:instrText xml:space="preserve"> ADDIN ZOTERO_ITEM CSL_CITATION {"citationID":"s48YmJuE","properties":{"formattedCitation":"Carol A Heimer and Clay Davis, \\uc0\\u8216{}Good Law to Fight Bad Bugs: Legal Responses to Epidemics\\uc0\\u8217{} (2022) 18 Annual Review of Law and Social Science 1, 19 and references therein.","plainCitation":"Carol A Heimer and Clay Davis, ‘Good Law to Fight Bad Bugs: Legal Responses to Epidemics’ (2022) 18 Annual Review of Law and Social Science 1, 19 and references therein.","noteIndex":5},"citationItems":[{"id":10755,"uris":["http://zotero.org/users/2073125/items/GLKQ4CAH"],"itemData":{"id":10755,"type":"article-journal","abstract":"Although epidemics are generally understood as lying within the domain of biomedicine, legal and social arrangements play crucial roles in determining whether or not infectious disease outbreaks grow into epidemics and even pandemics. Yet epidemics are challenging terrain for legal regulation. Because epidemics cross political borders and span jurisdictional boundaries, funding for epidemic prevention, preparedness, and response is always inadequate and coordination is difficult. Because epidemics require rapid and nimble responses, governments and international organizations often declare states of emergency, thereby evading some of the usual strictures of law. And because they involve massive uncertainty and rapidly evolving health crises, they require legal actors to work more quickly and with lower standards of proof than is common in law and to intrude on the turf of medical and scientific professionals. Legal contributions to pandemic management could be improved if legal measures such as global treaties and domestic public health law took account of these special features of epidemics.","container-title":"Annual Review of Law and Social Science","DOI":"10.1146/annurev-lawsocsci-050420-113513","issue":"1","note":"_eprint: https://doi.org/10.1146/annurev-lawsocsci-050420-113513","page":"1-26","source":"Annual Reviews","title":"Good Law to Fight Bad Bugs: Legal Responses to Epidemics","title-short":"Good Law to Fight Bad Bugs","volume":"18","author":[{"family":"Heimer","given":"Carol A."},{"family":"Davis","given":"Clay"}],"issued":{"date-parts":[["2022"]]}},"locator":"19","label":"page","suffix":"and references therein."}],"schema":"https://github.com/citation-style-language/schema/raw/master/csl-citation.json"} </w:instrText>
      </w:r>
      <w:r w:rsidRPr="00752C15">
        <w:rPr>
          <w:rFonts w:ascii="Times New Roman" w:hAnsi="Times New Roman" w:cs="Times New Roman"/>
        </w:rPr>
        <w:fldChar w:fldCharType="separate"/>
      </w:r>
      <w:r w:rsidR="00BF3BC4" w:rsidRPr="00752C15">
        <w:rPr>
          <w:rFonts w:ascii="Times New Roman" w:hAnsi="Times New Roman" w:cs="Times New Roman"/>
        </w:rPr>
        <w:t>Carol A Heimer and Clay Davis, ‘Good Law to Fight Bad Bugs: Legal Responses to Epidemics’ (2022) 18 Annual Review of Law and Social Science 1, 19 and references therein.</w:t>
      </w:r>
      <w:r w:rsidRPr="00752C15">
        <w:rPr>
          <w:rFonts w:ascii="Times New Roman" w:hAnsi="Times New Roman" w:cs="Times New Roman"/>
        </w:rPr>
        <w:fldChar w:fldCharType="end"/>
      </w:r>
    </w:p>
  </w:footnote>
  <w:footnote w:id="7">
    <w:p w14:paraId="634881DD" w14:textId="6F16A180" w:rsidR="00033410" w:rsidRPr="00752C15" w:rsidRDefault="00033410" w:rsidP="00752C15">
      <w:pPr>
        <w:pStyle w:val="FootnoteText"/>
        <w:jc w:val="both"/>
        <w:rPr>
          <w:rFonts w:ascii="Times New Roman" w:hAnsi="Times New Roman" w:cs="Times New Roman"/>
          <w:lang w:val="en-US"/>
        </w:rPr>
      </w:pPr>
      <w:r w:rsidRPr="00DC52BD">
        <w:rPr>
          <w:rStyle w:val="FootnoteReference"/>
        </w:rPr>
        <w:footnoteRef/>
      </w:r>
      <w:r w:rsidRPr="00752C15">
        <w:rPr>
          <w:rFonts w:ascii="Times New Roman" w:hAnsi="Times New Roman" w:cs="Times New Roman"/>
        </w:rPr>
        <w:t xml:space="preserve"> </w:t>
      </w:r>
      <w:r w:rsidRPr="00752C15">
        <w:rPr>
          <w:rFonts w:ascii="Times New Roman" w:hAnsi="Times New Roman" w:cs="Times New Roman"/>
        </w:rPr>
        <w:fldChar w:fldCharType="begin"/>
      </w:r>
      <w:r w:rsidR="003F255E" w:rsidRPr="00752C15">
        <w:rPr>
          <w:rFonts w:ascii="Times New Roman" w:hAnsi="Times New Roman" w:cs="Times New Roman"/>
        </w:rPr>
        <w:instrText xml:space="preserve"> ADDIN ZOTERO_ITEM CSL_CITATION {"citationID":"mgXjDHKo","properties":{"formattedCitation":"Paul W Kahn, \\uc0\\u8216{}Democracy and the Obligations of Care: A Demos Worthy of Sacrifice\\uc0\\u8217{} in Miguel Poiares Maduro and Paul W Kahn (eds), {\\i{}Democracy in Times of Pandemic: Different Futures Imagined} (CUP 2020) 198\\uc0\\u8211{}200.","plainCitation":"Paul W Kahn, ‘Democracy and the Obligations of Care: A Demos Worthy of Sacrifice’ in Miguel Poiares Maduro and Paul W Kahn (eds), Democracy in Times of Pandemic: Different Futures Imagined (CUP 2020) 198–200.","noteIndex":6},"citationItems":[{"id":10791,"uris":["http://zotero.org/users/2073125/items/DJ8VNW8D"],"itemData":{"id":10791,"type":"chapter","abstract":"The COVID-19 pandemic has presented an important case study, on a global scale, of how democracy works - and fails to work - today. From leadership to citizenship, from due process to checks and balances, from globalization to misinformation, from solidarity within and across borders to the role of expertise, key democratic concepts both old and new are now being put to the test. The future of democracy around the world is at issue as today's governments manage their responses to the pandemic. Bringing together some of today's most creative thinkers, these essays offer a variety of inquiries into democracy during the global pandemic with a view to imagining post-crisis political conditions. Representing different regions and disciplines, including law, politics, philosophy, religion, and sociology, eighteen voices offer different outlooks - optimistic and pessimistic - on the future.","container-title":"Democracy in Times of Pandemic: Different Futures Imagined","event-place":"Cambridge","ISBN":"978-1-108-84536-6","language":"English","page":"196-207","publisher":"CUP","publisher-place":"Cambridge","source":"Amazon","title":"Democracy and the Obligations of Care: A Demos Worthy of Sacrifice","editor":[{"family":"Maduro","given":"Miguel Poiares"},{"family":"Kahn","given":"Paul W."}],"author":[{"family":"Kahn","given":"Paul W."}],"issued":{"date-parts":[["2020",11,12]]}},"locator":"198-200","label":"page"}],"schema":"https://github.com/citation-style-language/schema/raw/master/csl-citation.json"} </w:instrText>
      </w:r>
      <w:r w:rsidRPr="00752C15">
        <w:rPr>
          <w:rFonts w:ascii="Times New Roman" w:hAnsi="Times New Roman" w:cs="Times New Roman"/>
        </w:rPr>
        <w:fldChar w:fldCharType="separate"/>
      </w:r>
      <w:r w:rsidR="002314D4" w:rsidRPr="00752C15">
        <w:rPr>
          <w:rFonts w:ascii="Times New Roman" w:hAnsi="Times New Roman" w:cs="Times New Roman"/>
        </w:rPr>
        <w:t xml:space="preserve">Paul W Kahn, ‘Democracy and the Obligations of Care: A Demos Worthy of Sacrifice’ in Miguel Poiares Maduro and Paul W Kahn (eds), </w:t>
      </w:r>
      <w:r w:rsidR="002314D4" w:rsidRPr="00752C15">
        <w:rPr>
          <w:rFonts w:ascii="Times New Roman" w:hAnsi="Times New Roman" w:cs="Times New Roman"/>
          <w:i/>
          <w:iCs/>
        </w:rPr>
        <w:t>Democracy in Times of Pandemic: Different Futures Imagined</w:t>
      </w:r>
      <w:r w:rsidR="002314D4" w:rsidRPr="00752C15">
        <w:rPr>
          <w:rFonts w:ascii="Times New Roman" w:hAnsi="Times New Roman" w:cs="Times New Roman"/>
        </w:rPr>
        <w:t xml:space="preserve"> (CUP 2020) 198–200.</w:t>
      </w:r>
      <w:r w:rsidRPr="00752C15">
        <w:rPr>
          <w:rFonts w:ascii="Times New Roman" w:hAnsi="Times New Roman" w:cs="Times New Roman"/>
        </w:rPr>
        <w:fldChar w:fldCharType="end"/>
      </w:r>
    </w:p>
  </w:footnote>
  <w:footnote w:id="8">
    <w:p w14:paraId="3C8EB83F" w14:textId="37B53773" w:rsidR="00557274" w:rsidRPr="00752C15" w:rsidRDefault="00557274" w:rsidP="00752C15">
      <w:pPr>
        <w:pStyle w:val="FootnoteText"/>
        <w:jc w:val="both"/>
        <w:rPr>
          <w:rFonts w:ascii="Times New Roman" w:hAnsi="Times New Roman" w:cs="Times New Roman"/>
          <w:lang w:val="sk-SK"/>
        </w:rPr>
      </w:pPr>
      <w:r w:rsidRPr="00DC52BD">
        <w:rPr>
          <w:rStyle w:val="FootnoteReference"/>
        </w:rPr>
        <w:footnoteRef/>
      </w:r>
      <w:r w:rsidRPr="00752C15">
        <w:rPr>
          <w:rFonts w:ascii="Times New Roman" w:hAnsi="Times New Roman" w:cs="Times New Roman"/>
        </w:rPr>
        <w:t xml:space="preserve"> </w:t>
      </w:r>
      <w:r w:rsidRPr="00752C15">
        <w:rPr>
          <w:rFonts w:ascii="Times New Roman" w:hAnsi="Times New Roman" w:cs="Times New Roman"/>
        </w:rPr>
        <w:fldChar w:fldCharType="begin"/>
      </w:r>
      <w:r w:rsidRPr="00752C15">
        <w:rPr>
          <w:rFonts w:ascii="Times New Roman" w:hAnsi="Times New Roman" w:cs="Times New Roman"/>
        </w:rPr>
        <w:instrText xml:space="preserve"> ADDIN ZOTERO_ITEM CSL_CITATION {"citationID":"Ah1LdRSh","properties":{"formattedCitation":"For an early account on the significance of public communication with reference to a broader range of actors (including media), see Sweta Chakraborty, \\uc0\\u8216{}How Risk Perceptions, Not Evidence, Have Driven Harmful Policies on COVID-19\\uc0\\u8217{} (2020) 11 European Journal of Risk Regulation 236, 237\\uc0\\u8211{}238.","plainCitation":"For an early account on the significance of public communication with reference to a broader range of actors (including media), see Sweta Chakraborty, ‘How Risk Perceptions, Not Evidence, Have Driven Harmful Policies on COVID-19’ (2020) 11 European Journal of Risk Regulation 236, 237–238.","noteIndex":7},"citationItems":[{"id":10865,"uris":["http://zotero.org/users/2073125/items/HCYUP6LL"],"itemData":{"id":10865,"type":"article-journal","abstract":"COVID-19 hits all of the cognitive triggers for how the lay public misjudges risk. Robust findings from the field of risk perception have identified unique characteristics of a risk that allow for greater attribution of frequency and probability than is likely to be aligned with the base-rate statistics of the risk. COVID-19 embodies these features. It is unfamiliar, invisible, dreaded, potentially endemic, involuntary, disproportionately impacts vulnerable populations such as the elderly and has the potential for widespread catastrophe. When risks with such characteristics emerge, it is imperative for there to be trust between those in governance and communication and the lay public in order to quell public fears. This is not the environment in which COVID-19 has emerged, potentially resulting in even greater perceptions of risk.","container-title":"European Journal of Risk Regulation","DOI":"10.1017/err.2020.37","ISSN":"1867-299X, 2190-8249","issue":"2","language":"en","note":"publisher: Cambridge University Press","page":"236-239","source":"Cambridge University Press","title":"How Risk Perceptions, Not Evidence, Have Driven Harmful Policies on COVID-19","volume":"11","author":[{"family":"Chakraborty","given":"Sweta"}],"issued":{"date-parts":[["2020",6]]}},"locator":"237-238","label":"page","prefix":"For an early account on the significance of public communication with reference to a broader range of actors (including media), see"}],"schema":"https://github.com/citation-style-language/schema/raw/master/csl-citation.json"} </w:instrText>
      </w:r>
      <w:r w:rsidRPr="00752C15">
        <w:rPr>
          <w:rFonts w:ascii="Times New Roman" w:hAnsi="Times New Roman" w:cs="Times New Roman"/>
        </w:rPr>
        <w:fldChar w:fldCharType="separate"/>
      </w:r>
      <w:r w:rsidRPr="00752C15">
        <w:rPr>
          <w:rFonts w:ascii="Times New Roman" w:hAnsi="Times New Roman" w:cs="Times New Roman"/>
        </w:rPr>
        <w:t>For an early account on the significance of public communication with reference to a broader range of actors (including media), see Sweta Chakraborty, ‘How Risk Perceptions, Not Evidence, Have Driven Harmful Policies on COVID-19’ (2020) 11 European Journal of Risk Regulation 236, 237–238.</w:t>
      </w:r>
      <w:r w:rsidRPr="00752C15">
        <w:rPr>
          <w:rFonts w:ascii="Times New Roman" w:hAnsi="Times New Roman" w:cs="Times New Roman"/>
        </w:rPr>
        <w:fldChar w:fldCharType="end"/>
      </w:r>
    </w:p>
  </w:footnote>
  <w:footnote w:id="9">
    <w:p w14:paraId="7680A75A" w14:textId="3793AE47" w:rsidR="00352FB4" w:rsidRPr="00752C15" w:rsidRDefault="00352FB4" w:rsidP="00752C15">
      <w:pPr>
        <w:pStyle w:val="FootnoteText"/>
        <w:jc w:val="both"/>
        <w:rPr>
          <w:rFonts w:ascii="Times New Roman" w:hAnsi="Times New Roman" w:cs="Times New Roman"/>
          <w:lang w:val="en-US"/>
        </w:rPr>
      </w:pPr>
      <w:r w:rsidRPr="00DC52BD">
        <w:rPr>
          <w:rStyle w:val="FootnoteReference"/>
        </w:rPr>
        <w:footnoteRef/>
      </w:r>
      <w:r w:rsidRPr="00752C15">
        <w:rPr>
          <w:rFonts w:ascii="Times New Roman" w:hAnsi="Times New Roman" w:cs="Times New Roman"/>
        </w:rPr>
        <w:t xml:space="preserve"> </w:t>
      </w:r>
      <w:r w:rsidRPr="00752C15">
        <w:rPr>
          <w:rFonts w:ascii="Times New Roman" w:hAnsi="Times New Roman" w:cs="Times New Roman"/>
        </w:rPr>
        <w:fldChar w:fldCharType="begin"/>
      </w:r>
      <w:r w:rsidR="006B3707" w:rsidRPr="00752C15">
        <w:rPr>
          <w:rFonts w:ascii="Times New Roman" w:hAnsi="Times New Roman" w:cs="Times New Roman"/>
        </w:rPr>
        <w:instrText xml:space="preserve"> ADDIN ZOTERO_ITEM CSL_CITATION {"citationID":"Dc0oP6un","properties":{"formattedCitation":"Alan Greene, {\\i{}Emergency Powers in a Time of Pandemic} (Bristol University Press 2020) 9.","plainCitation":"Alan Greene, Emergency Powers in a Time of Pandemic (Bristol University Press 2020) 9.","noteIndex":8},"citationItems":[{"id":83,"uris":["http://zotero.org/users/2073125/items/T4Z29DBV"],"itemData":{"id":83,"type":"book","abstract":"How do we maintain core values and rights when governments impose restrictive measures on our lives? Declaring a state of emergency is the best way to protect public health in a pandemic but how do these powers differ from those for national security and economic crises? This book explores how human rights, democracy and the rule of law can be protected during a pandemic and how emergency powers can best be ended once it wanes. Written by an expert on constitutional law and human rights, this accessible book will shape how governments, opposition, courts and society as a whole view future pandemic emergency powers.","event-place":"Bristol","ISBN":"978-1-5292-1541-0","note":"DOI: 10.46692/9781529215434","publisher":"Bristol University Press","publisher-place":"Bristol","source":"Cambridge University Press","title":"Emergency Powers in a Time of Pandemic","author":[{"family":"Greene","given":"Alan"}],"issued":{"date-parts":[["2020"]]}},"locator":"9","label":"page"}],"schema":"https://github.com/citation-style-language/schema/raw/master/csl-citation.json"} </w:instrText>
      </w:r>
      <w:r w:rsidRPr="00752C15">
        <w:rPr>
          <w:rFonts w:ascii="Times New Roman" w:hAnsi="Times New Roman" w:cs="Times New Roman"/>
        </w:rPr>
        <w:fldChar w:fldCharType="separate"/>
      </w:r>
      <w:r w:rsidR="006B3707" w:rsidRPr="00752C15">
        <w:rPr>
          <w:rFonts w:ascii="Times New Roman" w:hAnsi="Times New Roman" w:cs="Times New Roman"/>
        </w:rPr>
        <w:t xml:space="preserve">Alan Greene, </w:t>
      </w:r>
      <w:r w:rsidR="006B3707" w:rsidRPr="00752C15">
        <w:rPr>
          <w:rFonts w:ascii="Times New Roman" w:hAnsi="Times New Roman" w:cs="Times New Roman"/>
          <w:i/>
          <w:iCs/>
        </w:rPr>
        <w:t>Emergency Powers in a Time of Pandemic</w:t>
      </w:r>
      <w:r w:rsidR="006B3707" w:rsidRPr="00752C15">
        <w:rPr>
          <w:rFonts w:ascii="Times New Roman" w:hAnsi="Times New Roman" w:cs="Times New Roman"/>
        </w:rPr>
        <w:t xml:space="preserve"> (Bristol University Press 2020) 9.</w:t>
      </w:r>
      <w:r w:rsidRPr="00752C15">
        <w:rPr>
          <w:rFonts w:ascii="Times New Roman" w:hAnsi="Times New Roman" w:cs="Times New Roman"/>
        </w:rPr>
        <w:fldChar w:fldCharType="end"/>
      </w:r>
    </w:p>
  </w:footnote>
  <w:footnote w:id="10">
    <w:p w14:paraId="00563938" w14:textId="5BD969C9" w:rsidR="002B0677" w:rsidRPr="00752C15" w:rsidRDefault="002B0677" w:rsidP="00752C15">
      <w:pPr>
        <w:pStyle w:val="FootnoteText"/>
        <w:jc w:val="both"/>
        <w:rPr>
          <w:rFonts w:ascii="Times New Roman" w:hAnsi="Times New Roman" w:cs="Times New Roman"/>
          <w:lang w:val="en-IN"/>
        </w:rPr>
      </w:pPr>
      <w:r w:rsidRPr="00DC52BD">
        <w:rPr>
          <w:rStyle w:val="FootnoteReference"/>
        </w:rPr>
        <w:footnoteRef/>
      </w:r>
      <w:r w:rsidRPr="00752C15">
        <w:rPr>
          <w:rFonts w:ascii="Times New Roman" w:hAnsi="Times New Roman" w:cs="Times New Roman"/>
        </w:rPr>
        <w:t xml:space="preserve"> </w:t>
      </w:r>
      <w:r w:rsidRPr="00752C15">
        <w:rPr>
          <w:rFonts w:ascii="Times New Roman" w:hAnsi="Times New Roman" w:cs="Times New Roman"/>
        </w:rPr>
        <w:fldChar w:fldCharType="begin"/>
      </w:r>
      <w:r w:rsidR="006B3707" w:rsidRPr="00752C15">
        <w:rPr>
          <w:rFonts w:ascii="Times New Roman" w:hAnsi="Times New Roman" w:cs="Times New Roman"/>
        </w:rPr>
        <w:instrText xml:space="preserve"> ADDIN ZOTERO_ITEM CSL_CITATION {"citationID":"oCcRaYaT","properties":{"formattedCitation":"Ren\\uc0\\u225{}ta Uitz, \\uc0\\u8216{}Constitutional Practices in Times \\uc0\\u8220{}After Liberty\\uc0\\u8221{}\\uc0\\u8217{} in Andr\\uc0\\u225{}s Saj\\uc0\\u243{}, Ren\\uc0\\u225{}ta Uitz and Stephen Holmes (eds), {\\i{}Routledge Handbook of Illiberalism} (Routledge 2021) 451\\uc0\\u8211{}452.","plainCitation":"Renáta Uitz, ‘Constitutional Practices in Times “After Liberty”’ in András Sajó, Renáta Uitz and Stephen Holmes (eds), Routledge Handbook of Illiberalism (Routledge 2021) 451–452.","noteIndex":9},"citationItems":[{"id":4611,"uris":["http://zotero.org/users/2073125/items/4NE7CV5L"],"itemData":{"id":4611,"type":"chapter","container-title":"Routledge Handbook of Illiberalism","event-place":"London","ISBN":"978-0-367-26054-5","language":"English","page":"442-465","publisher":"Routledge","publisher-place":"London","source":"Amazon","title":"Constitutional Practices in Times “After Liberty”","editor":[{"family":"Sajó","given":"András"},{"family":"Uitz","given":"Renáta"},{"family":"Holmes","given":"Stephen"}],"author":[{"family":"Uitz","given":"Renáta"}],"issued":{"date-parts":[["2021",11,30]]}},"locator":"451-452"}],"schema":"https://github.com/citation-style-language/schema/raw/master/csl-citation.json"} </w:instrText>
      </w:r>
      <w:r w:rsidRPr="00752C15">
        <w:rPr>
          <w:rFonts w:ascii="Times New Roman" w:hAnsi="Times New Roman" w:cs="Times New Roman"/>
        </w:rPr>
        <w:fldChar w:fldCharType="separate"/>
      </w:r>
      <w:r w:rsidR="00BF3BC4" w:rsidRPr="00752C15">
        <w:rPr>
          <w:rFonts w:ascii="Times New Roman" w:hAnsi="Times New Roman" w:cs="Times New Roman"/>
        </w:rPr>
        <w:t xml:space="preserve">Renáta Uitz, ‘Constitutional Practices in Times “After Liberty”’ in András Sajó, Renáta Uitz and Stephen Holmes (eds), </w:t>
      </w:r>
      <w:r w:rsidR="00BF3BC4" w:rsidRPr="00752C15">
        <w:rPr>
          <w:rFonts w:ascii="Times New Roman" w:hAnsi="Times New Roman" w:cs="Times New Roman"/>
          <w:i/>
          <w:iCs/>
        </w:rPr>
        <w:t>Routledge Handbook of Illiberalism</w:t>
      </w:r>
      <w:r w:rsidR="00BF3BC4" w:rsidRPr="00752C15">
        <w:rPr>
          <w:rFonts w:ascii="Times New Roman" w:hAnsi="Times New Roman" w:cs="Times New Roman"/>
        </w:rPr>
        <w:t xml:space="preserve"> (Routledge 2021) 451–452.</w:t>
      </w:r>
      <w:r w:rsidRPr="00752C15">
        <w:rPr>
          <w:rFonts w:ascii="Times New Roman" w:hAnsi="Times New Roman" w:cs="Times New Roman"/>
        </w:rPr>
        <w:fldChar w:fldCharType="end"/>
      </w:r>
    </w:p>
  </w:footnote>
  <w:footnote w:id="11">
    <w:p w14:paraId="2010619E" w14:textId="1CDF53A7" w:rsidR="008D3596" w:rsidRPr="00752C15" w:rsidRDefault="008D3596" w:rsidP="00752C15">
      <w:pPr>
        <w:pStyle w:val="FootnoteText"/>
        <w:jc w:val="both"/>
        <w:rPr>
          <w:rFonts w:ascii="Times New Roman" w:hAnsi="Times New Roman" w:cs="Times New Roman"/>
          <w:lang w:val="en-US"/>
        </w:rPr>
      </w:pPr>
      <w:r w:rsidRPr="00DC52BD">
        <w:rPr>
          <w:rStyle w:val="FootnoteReference"/>
        </w:rPr>
        <w:footnoteRef/>
      </w:r>
      <w:r w:rsidRPr="00752C15">
        <w:rPr>
          <w:rFonts w:ascii="Times New Roman" w:hAnsi="Times New Roman" w:cs="Times New Roman"/>
        </w:rPr>
        <w:t xml:space="preserve"> </w:t>
      </w:r>
      <w:r w:rsidRPr="00752C15">
        <w:rPr>
          <w:rFonts w:ascii="Times New Roman" w:hAnsi="Times New Roman" w:cs="Times New Roman"/>
        </w:rPr>
        <w:fldChar w:fldCharType="begin"/>
      </w:r>
      <w:r w:rsidR="006B3707" w:rsidRPr="00752C15">
        <w:rPr>
          <w:rFonts w:ascii="Times New Roman" w:hAnsi="Times New Roman" w:cs="Times New Roman"/>
        </w:rPr>
        <w:instrText xml:space="preserve"> ADDIN ZOTERO_ITEM CSL_CITATION {"citationID":"qTbxocdZ","properties":{"formattedCitation":"Lukasz Gruszczynski, Mateusz Zato\\uc0\\u324{}ski and Martin Mckee, \\uc0\\u8216{}Do Regulations Matter in Fighting the COVID-19 Pandemic? Lessons from Poland\\uc0\\u8217{} (2021) 12 European Journal of Risk Regulation 739.","plainCitation":"Lukasz Gruszczynski, Mateusz Zatoński and Martin Mckee, ‘Do Regulations Matter in Fighting the COVID-19 Pandemic? Lessons from Poland’ (2021) 12 European Journal of Risk Regulation 739.","noteIndex":10},"citationItems":[{"id":10775,"uris":["http://zotero.org/users/2073125/items/F7J6M9DK"],"itemData":{"id":10775,"type":"article-journal","abstract":"In this article, we argue that the design and timing of regulatory responses, as well as the adherence of the population to the relevant rules, have a critical impact on the progression and public health consequences of the COVID-19 pandemic. This hypothesis is empirically tested using the example of Poland, a country that experienced, compared to its Western European neighbours, a relatively mild first phase of the pandemic. In this context, we compare Poland with selected countries, including France, Germany, Spain and the UK, and we supplement them with examples from other Visegrad Four (V4) countries – Czechia, Slovakia and Hungary. On that basis, we conclude that while the observed differences between the countries in the progression of the COVID-19 pandemic are the result of a multitude of complex and interrelated reasons (such as demographic structure, population density and connectivity or cultural factors), well-designed public health measures, which are implemented early as a part of the proactive strategy that anticipates and reacts quickly to changing circumstances, can effectively decrease the number of COVID-19 infections and related deaths, provided that the adherence of the relevant population is high.","container-title":"European Journal of Risk Regulation","DOI":"10.1017/err.2021.53","ISSN":"1867-299X, 2190-8249","issue":"4","language":"en","note":"publisher: Cambridge University Press","page":"739-757","source":"Cambridge University Press","title":"Do Regulations Matter in Fighting the COVID-19 Pandemic? Lessons from Poland","title-short":"Do Regulations Matter in Fighting the COVID-19 Pandemic?","volume":"12","author":[{"family":"Gruszczynski","given":"Lukasz"},{"family":"Zatoński","given":"Mateusz"},{"family":"Mckee","given":"Martin"}],"issued":{"date-parts":[["2021",12]]}}}],"schema":"https://github.com/citation-style-language/schema/raw/master/csl-citation.json"} </w:instrText>
      </w:r>
      <w:r w:rsidRPr="00752C15">
        <w:rPr>
          <w:rFonts w:ascii="Times New Roman" w:hAnsi="Times New Roman" w:cs="Times New Roman"/>
        </w:rPr>
        <w:fldChar w:fldCharType="separate"/>
      </w:r>
      <w:r w:rsidR="00BF3BC4" w:rsidRPr="00752C15">
        <w:rPr>
          <w:rFonts w:ascii="Times New Roman" w:hAnsi="Times New Roman" w:cs="Times New Roman"/>
        </w:rPr>
        <w:t>Lukasz Gruszczynski, Mateusz Zatoński and Martin Mckee, ‘Do Regulations Matter in Fighting the COVID-19 Pandemic? Lessons from Poland’ (2021) 12 European Journal of Risk Regulation 739.</w:t>
      </w:r>
      <w:r w:rsidRPr="00752C15">
        <w:rPr>
          <w:rFonts w:ascii="Times New Roman" w:hAnsi="Times New Roman" w:cs="Times New Roman"/>
        </w:rPr>
        <w:fldChar w:fldCharType="end"/>
      </w:r>
    </w:p>
  </w:footnote>
  <w:footnote w:id="12">
    <w:p w14:paraId="728BFB0F" w14:textId="63159EDD" w:rsidR="00D21E6A" w:rsidRPr="00752C15" w:rsidRDefault="00D21E6A" w:rsidP="00752C15">
      <w:pPr>
        <w:pStyle w:val="FootnoteText"/>
        <w:jc w:val="both"/>
        <w:rPr>
          <w:rFonts w:ascii="Times New Roman" w:hAnsi="Times New Roman" w:cs="Times New Roman"/>
          <w:lang w:val="sk-SK"/>
        </w:rPr>
      </w:pPr>
      <w:r w:rsidRPr="00DC52BD">
        <w:rPr>
          <w:rStyle w:val="FootnoteReference"/>
        </w:rPr>
        <w:footnoteRef/>
      </w:r>
      <w:r w:rsidRPr="00752C15">
        <w:rPr>
          <w:rFonts w:ascii="Times New Roman" w:hAnsi="Times New Roman" w:cs="Times New Roman"/>
        </w:rPr>
        <w:t xml:space="preserve"> </w:t>
      </w:r>
      <w:r w:rsidRPr="00752C15">
        <w:rPr>
          <w:rFonts w:ascii="Times New Roman" w:hAnsi="Times New Roman" w:cs="Times New Roman"/>
        </w:rPr>
        <w:fldChar w:fldCharType="begin"/>
      </w:r>
      <w:r w:rsidRPr="00752C15">
        <w:rPr>
          <w:rFonts w:ascii="Times New Roman" w:hAnsi="Times New Roman" w:cs="Times New Roman"/>
        </w:rPr>
        <w:instrText xml:space="preserve"> ADDIN ZOTERO_ITEM CSL_CITATION {"citationID":"qBYMOex2","properties":{"formattedCitation":"Marianne Kneuer and Stefan Wurster, \\uc0\\u8216{}Democratic Health in the Corona Pandemic. The Corona Pandemic as a\\uc0\\u160{}Trigger or Amplifier of Democratic Erosion or Autocratization?\\uc0\\u8217{} (2022) 16 Zeitschrift f\\uc0\\u252{}r Vergleichende Politikwissenschaft 615, 616.","plainCitation":"Marianne Kneuer and Stefan Wurster, ‘Democratic Health in the Corona Pandemic. The Corona Pandemic as a Trigger or Amplifier of Democratic Erosion or Autocratization?’ (2022) 16 Zeitschrift für Vergleichende Politikwissenschaft 615, 616.","noteIndex":11},"citationItems":[{"id":10843,"uris":["http://zotero.org/users/2073125/items/LDYPX8NR"],"itemData":{"id":10843,"type":"article-journal","container-title":"Zeitschrift für Vergleichende Politikwissenschaft","DOI":"10.1007/s12286-023-00558-8","ISSN":"1865-2654","issue":"4","journalAbbreviation":"Z Vgl Polit Wiss","language":"en","page":"615-634","source":"Springer Link","title":"Democratic health in the corona pandemic. The corona pandemic as a trigger or amplifier of democratic erosion or autocratization?","volume":"16","author":[{"family":"Kneuer","given":"Marianne"},{"family":"Wurster","given":"Stefan"}],"issued":{"date-parts":[["2022",12,1]]}},"locator":"616","label":"page"}],"schema":"https://github.com/citation-style-language/schema/raw/master/csl-citation.json"} </w:instrText>
      </w:r>
      <w:r w:rsidRPr="00752C15">
        <w:rPr>
          <w:rFonts w:ascii="Times New Roman" w:hAnsi="Times New Roman" w:cs="Times New Roman"/>
        </w:rPr>
        <w:fldChar w:fldCharType="separate"/>
      </w:r>
      <w:r w:rsidRPr="00752C15">
        <w:rPr>
          <w:rFonts w:ascii="Times New Roman" w:hAnsi="Times New Roman" w:cs="Times New Roman"/>
        </w:rPr>
        <w:t>Marianne Kneuer and Stefan Wurster, ‘Democratic Health in the Corona Pandemic. The Corona Pandemic as a Trigger or Amplifier of Democratic Erosion or Autocratization?’ (2022) 16 Zeitschrift für Vergleichende Politikwissenschaft 615, 616.</w:t>
      </w:r>
      <w:r w:rsidRPr="00752C15">
        <w:rPr>
          <w:rFonts w:ascii="Times New Roman" w:hAnsi="Times New Roman" w:cs="Times New Roman"/>
        </w:rPr>
        <w:fldChar w:fldCharType="end"/>
      </w:r>
    </w:p>
  </w:footnote>
  <w:footnote w:id="13">
    <w:p w14:paraId="651949F1" w14:textId="08C6E1E3" w:rsidR="00DA692E" w:rsidRPr="00752C15" w:rsidRDefault="00DA692E" w:rsidP="00752C15">
      <w:pPr>
        <w:pStyle w:val="FootnoteText"/>
        <w:jc w:val="both"/>
        <w:rPr>
          <w:rFonts w:ascii="Times New Roman" w:hAnsi="Times New Roman" w:cs="Times New Roman"/>
          <w:lang w:val="en-US"/>
        </w:rPr>
      </w:pPr>
      <w:r w:rsidRPr="00DC52BD">
        <w:rPr>
          <w:rStyle w:val="FootnoteReference"/>
        </w:rPr>
        <w:footnoteRef/>
      </w:r>
      <w:r w:rsidRPr="00752C15">
        <w:rPr>
          <w:rFonts w:ascii="Times New Roman" w:hAnsi="Times New Roman" w:cs="Times New Roman"/>
        </w:rPr>
        <w:t xml:space="preserve"> </w:t>
      </w:r>
      <w:r w:rsidRPr="00752C15">
        <w:rPr>
          <w:rFonts w:ascii="Times New Roman" w:hAnsi="Times New Roman" w:cs="Times New Roman"/>
        </w:rPr>
        <w:fldChar w:fldCharType="begin"/>
      </w:r>
      <w:r w:rsidR="003F255E" w:rsidRPr="00752C15">
        <w:rPr>
          <w:rFonts w:ascii="Times New Roman" w:hAnsi="Times New Roman" w:cs="Times New Roman"/>
        </w:rPr>
        <w:instrText xml:space="preserve"> ADDIN ZOTERO_ITEM CSL_CITATION {"citationID":"KJcdvHYH","properties":{"formattedCitation":"Steffen Wamsler and others, \\uc0\\u8216{}The Pandemic and the Question of National Belonging: Exposure to Covid-19 Threat and Conceptions of Nationhood\\uc0\\u8217{} (2023) 62 European Journal of Political Research 510.","plainCitation":"Steffen Wamsler and others, ‘The Pandemic and the Question of National Belonging: Exposure to Covid-19 Threat and Conceptions of Nationhood’ (2023) 62 European Journal of Political Research 510.","noteIndex":12},"citationItems":[{"id":11797,"uris":["http://zotero.org/users/2073125/items/8UMDM4KC"],"itemData":{"id":11797,"type":"article-journal","abstract":"Drawing on the behavioural immune system hypothesis, we argue that the prevalence of the Covid-19 pandemic threat in an individual's respective environment relates to exclusive, ethnic conceptions of nationhood. Referring to the affective intelligence theory, we maintain that specific negative emotions are prompted by the perception of being exposed to a pandemic threat, and these emotional states in turn structure political preferences regarding national belonging. Using an original survey in six European countries during the first peak of the pandemic in late April and early May 2020, we analyze both the impact of individual Covid-19 experiences and the contextual exposure to a pandemic threat through hierarchical analyses of 105 European regions. Our empirical analysis shows that exposure to the pandemic is linked to stronger ethnic national identities for both levels of analysis. We also find that anger substantially mediates this relationship and has primacy over feelings of fear. Taken together, our results indicate that the behavioural immune system appears as a pervasive obstacle to inclusive orientations.","container-title":"European Journal of Political Research","DOI":"10.1111/1475-6765.12515","ISSN":"1475-6765","issue":"2","language":"en","license":"© 2022 The Authors. European Journal of Political Research published by John Wiley &amp; Sons Ltd on behalf of European Consortium for Political Research.","note":"_eprint: https://onlinelibrary.wiley.com/doi/pdf/10.1111/1475-6765.12515","page":"510-529","source":"Wiley Online Library","title":"The pandemic and the question of national belonging: Exposure to covid-19 threat and conceptions of nationhood","title-short":"The pandemic and the question of national belonging","volume":"62","author":[{"family":"Wamsler","given":"Steffen"},{"family":"Freitag","given":"Markus"},{"family":"Erhardt","given":"Julian"},{"family":"Filsinger","given":"Maximilian"}],"issued":{"date-parts":[["2023"]]}}}],"schema":"https://github.com/citation-style-language/schema/raw/master/csl-citation.json"} </w:instrText>
      </w:r>
      <w:r w:rsidRPr="00752C15">
        <w:rPr>
          <w:rFonts w:ascii="Times New Roman" w:hAnsi="Times New Roman" w:cs="Times New Roman"/>
        </w:rPr>
        <w:fldChar w:fldCharType="separate"/>
      </w:r>
      <w:r w:rsidRPr="00752C15">
        <w:rPr>
          <w:rFonts w:ascii="Times New Roman" w:hAnsi="Times New Roman" w:cs="Times New Roman"/>
        </w:rPr>
        <w:t>Steffen Wamsler and others, ‘The Pandemic and the Question of National Belonging: Exposure to Covid-19 Threat and Conceptions of Nationhood’ (2023) 62 European Journal of Political Research 510.</w:t>
      </w:r>
      <w:r w:rsidRPr="00752C15">
        <w:rPr>
          <w:rFonts w:ascii="Times New Roman" w:hAnsi="Times New Roman" w:cs="Times New Roman"/>
        </w:rPr>
        <w:fldChar w:fldCharType="end"/>
      </w:r>
    </w:p>
  </w:footnote>
  <w:footnote w:id="14">
    <w:p w14:paraId="4BEA0D27" w14:textId="3F30158B" w:rsidR="00144411" w:rsidRPr="00752C15" w:rsidRDefault="00144411" w:rsidP="00752C15">
      <w:pPr>
        <w:pStyle w:val="FootnoteText"/>
        <w:jc w:val="both"/>
        <w:rPr>
          <w:rFonts w:ascii="Times New Roman" w:hAnsi="Times New Roman" w:cs="Times New Roman"/>
        </w:rPr>
      </w:pPr>
      <w:r w:rsidRPr="00DC52BD">
        <w:rPr>
          <w:rStyle w:val="FootnoteReference"/>
        </w:rPr>
        <w:footnoteRef/>
      </w:r>
      <w:r w:rsidRPr="00752C15">
        <w:rPr>
          <w:rFonts w:ascii="Times New Roman" w:hAnsi="Times New Roman" w:cs="Times New Roman"/>
        </w:rPr>
        <w:t xml:space="preserve"> </w:t>
      </w:r>
      <w:r w:rsidRPr="00752C15">
        <w:rPr>
          <w:rFonts w:ascii="Times New Roman" w:hAnsi="Times New Roman" w:cs="Times New Roman"/>
        </w:rPr>
        <w:fldChar w:fldCharType="begin"/>
      </w:r>
      <w:r w:rsidR="003F255E" w:rsidRPr="00752C15">
        <w:rPr>
          <w:rFonts w:ascii="Times New Roman" w:hAnsi="Times New Roman" w:cs="Times New Roman"/>
        </w:rPr>
        <w:instrText xml:space="preserve"> ADDIN ZOTERO_ITEM CSL_CITATION {"citationID":"v2y0x29A","properties":{"formattedCitation":"Oren Gross, \\uc0\\u8216{}Emergency\\uc0\\u8217{}s Challenges\\uc0\\u8217{} in Richard Albert and Yaniv Roznai (eds), {\\i{}Constitutionalism Under Extreme Conditions: Law, Emergency, Exception} (Springer 2020) 439\\uc0\\u8211{}443.","plainCitation":"Oren Gross, ‘Emergency’s Challenges’ in Richard Albert and Yaniv Roznai (eds), Constitutionalism Under Extreme Conditions: Law, Emergency, Exception (Springer 2020) 439–443.","noteIndex":13},"citationItems":[{"id":10881,"uris":["http://zotero.org/users/2073125/items/BH2T5JQK"],"itemData":{"id":10881,"type":"chapter","abstract":"The final chapter examines several of the overarching challenges that are raised by “emergencies,” regardless of specific contexts in which that term is invoked. It focuses on five types of general concerns, namely the normalization of the exception, the problematics of balancing between the competing values of security and liberty, the manipulability of the very use of the concept of “emergency” to frame a given situation or state of affairs, the “Us versus Them” character of emergency situations that, in turn, exacerbates some of the previously identified challenges, and the capacity to exercise international monitoring and supervision when a government declares a state of emergency.","collection-title":"Ius Gentium: Comparative Perspectives on Law and Justice","container-title":"Constitutionalism Under Extreme Conditions: Law, Emergency, Exception","event-place":"Cham","ISBN":"978-3-030-49000-3","language":"en","note":"DOI: 10.1007/978-3-030-49000-3_24","page":"427-452","publisher":"Springer","publisher-place":"Cham","source":"Springer Link","title":"Emergency’s Challenges","author":[{"family":"Gross","given":"Oren"}],"editor":[{"family":"Albert","given":"Richard"},{"family":"Roznai","given":"Yaniv"}],"issued":{"date-parts":[["2020"]]}},"locator":"439-443","label":"page"}],"schema":"https://github.com/citation-style-language/schema/raw/master/csl-citation.json"} </w:instrText>
      </w:r>
      <w:r w:rsidRPr="00752C15">
        <w:rPr>
          <w:rFonts w:ascii="Times New Roman" w:hAnsi="Times New Roman" w:cs="Times New Roman"/>
        </w:rPr>
        <w:fldChar w:fldCharType="separate"/>
      </w:r>
      <w:r w:rsidR="00CE38EB" w:rsidRPr="00752C15">
        <w:rPr>
          <w:rFonts w:ascii="Times New Roman" w:hAnsi="Times New Roman" w:cs="Times New Roman"/>
        </w:rPr>
        <w:t xml:space="preserve">Oren Gross, ‘Emergency’s Challenges’ in Richard Albert and Yaniv Roznai (eds), </w:t>
      </w:r>
      <w:r w:rsidR="00CE38EB" w:rsidRPr="00752C15">
        <w:rPr>
          <w:rFonts w:ascii="Times New Roman" w:hAnsi="Times New Roman" w:cs="Times New Roman"/>
          <w:i/>
          <w:iCs/>
        </w:rPr>
        <w:t>Constitutionalism Under Extreme Conditions: Law, Emergency, Exception</w:t>
      </w:r>
      <w:r w:rsidR="00CE38EB" w:rsidRPr="00752C15">
        <w:rPr>
          <w:rFonts w:ascii="Times New Roman" w:hAnsi="Times New Roman" w:cs="Times New Roman"/>
        </w:rPr>
        <w:t xml:space="preserve"> (Springer 2020) 439–443.</w:t>
      </w:r>
      <w:r w:rsidRPr="00752C15">
        <w:rPr>
          <w:rFonts w:ascii="Times New Roman" w:hAnsi="Times New Roman" w:cs="Times New Roman"/>
        </w:rPr>
        <w:fldChar w:fldCharType="end"/>
      </w:r>
    </w:p>
  </w:footnote>
  <w:footnote w:id="15">
    <w:p w14:paraId="0FB93D3E" w14:textId="54F31BCA" w:rsidR="00E31009" w:rsidRPr="00752C15" w:rsidRDefault="00E31009" w:rsidP="00752C15">
      <w:pPr>
        <w:pStyle w:val="FootnoteText"/>
        <w:jc w:val="both"/>
        <w:rPr>
          <w:rFonts w:ascii="Times New Roman" w:hAnsi="Times New Roman" w:cs="Times New Roman"/>
          <w:lang w:val="en-IN"/>
        </w:rPr>
      </w:pPr>
      <w:r w:rsidRPr="00DC52BD">
        <w:rPr>
          <w:rStyle w:val="FootnoteReference"/>
        </w:rPr>
        <w:footnoteRef/>
      </w:r>
      <w:r w:rsidRPr="00752C15">
        <w:rPr>
          <w:rFonts w:ascii="Times New Roman" w:hAnsi="Times New Roman" w:cs="Times New Roman"/>
        </w:rPr>
        <w:t xml:space="preserve"> </w:t>
      </w:r>
      <w:r w:rsidRPr="00752C15">
        <w:rPr>
          <w:rFonts w:ascii="Times New Roman" w:hAnsi="Times New Roman" w:cs="Times New Roman"/>
          <w:lang w:val="en-IN"/>
        </w:rPr>
        <w:fldChar w:fldCharType="begin"/>
      </w:r>
      <w:r w:rsidR="00A13CFE" w:rsidRPr="00752C15">
        <w:rPr>
          <w:rFonts w:ascii="Times New Roman" w:hAnsi="Times New Roman" w:cs="Times New Roman"/>
          <w:lang w:val="en-IN"/>
        </w:rPr>
        <w:instrText xml:space="preserve"> ADDIN ZOTERO_ITEM CSL_CITATION {"citationID":"E3Xno6yB","properties":{"formattedCitation":"Christian Bj\\uc0\\u248{}rnskov and Stefan Voigt, \\uc0\\u8216{}This Time Is Different? On the Use of Emergency Measures during the Corona Pandemic\\uc0\\u8217{} (2022) 54 European Journal of Law and Economics 63, 74.","plainCitation":"Christian Bjørnskov and Stefan Voigt, ‘This Time Is Different? On the Use of Emergency Measures during the Corona Pandemic’ (2022) 54 European Journal of Law and Economics 63, 74.","noteIndex":14},"citationItems":[{"id":4305,"uris":["http://zotero.org/users/2073125/items/8PQYQ5NV"],"itemData":{"id":4305,"type":"article-journal","abstract":"The COVID-19 pandemic has not only caused millions to die and even more to lose their jobs, it has also prompted more governments to simultaneously declare a state of emergency than ever before enabling us to compare their decisions more directly. States of emergency usually imply the extension of executive powers that diminishes the powers of other branches of government, as well as to the civil liberties of individuals. Here, we analyze the use of emergency provisions during the first wave of the COVID-19 pandemic and find that it can be largely explained by drawing on political economy. It does, hence, not constitute an exception. We show that many governments have (mis-)used the pandemic as a pretext to curtail media freedom. We further show that executive decrees are considered as a substitute for states of emergency by many governments.","container-title":"European Journal of Law and Economics","DOI":"10.1007/s10657-021-09706-5","ISSN":"1572-9990","issue":"1","journalAbbreviation":"Eur J Law Econ","language":"en","page":"63–81","source":"Springer Link","title":"This time is different? On the use of emergency measures during the corona pandemic","title-short":"This time is different?","volume":"54","author":[{"family":"Bjørnskov","given":"Christian"},{"family":"Voigt","given":"Stefan"}],"issued":{"date-parts":[["2022"]]}},"locator":"74","label":"page"}],"schema":"https://github.com/citation-style-language/schema/raw/master/csl-citation.json"} </w:instrText>
      </w:r>
      <w:r w:rsidRPr="00752C15">
        <w:rPr>
          <w:rFonts w:ascii="Times New Roman" w:hAnsi="Times New Roman" w:cs="Times New Roman"/>
          <w:lang w:val="en-IN"/>
        </w:rPr>
        <w:fldChar w:fldCharType="separate"/>
      </w:r>
      <w:r w:rsidR="00A13CFE" w:rsidRPr="00752C15">
        <w:rPr>
          <w:rFonts w:ascii="Times New Roman" w:hAnsi="Times New Roman" w:cs="Times New Roman"/>
          <w:szCs w:val="24"/>
        </w:rPr>
        <w:t>Christian Bjørnskov and Stefan Voigt, ‘This Time Is Different? On the Use of Emergency Measures during the Corona Pandemic’ (2022) 54 European Journal of Law and Economics 63, 74.</w:t>
      </w:r>
      <w:r w:rsidRPr="00752C15">
        <w:rPr>
          <w:rFonts w:ascii="Times New Roman" w:hAnsi="Times New Roman" w:cs="Times New Roman"/>
          <w:lang w:val="en-IN"/>
        </w:rPr>
        <w:fldChar w:fldCharType="end"/>
      </w:r>
    </w:p>
  </w:footnote>
  <w:footnote w:id="16">
    <w:p w14:paraId="75F3B6C5" w14:textId="17F79203" w:rsidR="009E225C" w:rsidRPr="00752C15" w:rsidRDefault="009E225C" w:rsidP="00752C15">
      <w:pPr>
        <w:pStyle w:val="FootnoteText"/>
        <w:jc w:val="both"/>
        <w:rPr>
          <w:rFonts w:ascii="Times New Roman" w:hAnsi="Times New Roman" w:cs="Times New Roman"/>
          <w:lang w:val="en-US"/>
        </w:rPr>
      </w:pPr>
      <w:r w:rsidRPr="00DC52BD">
        <w:rPr>
          <w:rStyle w:val="FootnoteReference"/>
        </w:rPr>
        <w:footnoteRef/>
      </w:r>
      <w:r w:rsidRPr="00752C15">
        <w:rPr>
          <w:rFonts w:ascii="Times New Roman" w:hAnsi="Times New Roman" w:cs="Times New Roman"/>
        </w:rPr>
        <w:t xml:space="preserve"> </w:t>
      </w:r>
      <w:r w:rsidRPr="00752C15">
        <w:rPr>
          <w:rFonts w:ascii="Times New Roman" w:hAnsi="Times New Roman" w:cs="Times New Roman"/>
        </w:rPr>
        <w:fldChar w:fldCharType="begin"/>
      </w:r>
      <w:r w:rsidR="003F255E" w:rsidRPr="00752C15">
        <w:rPr>
          <w:rFonts w:ascii="Times New Roman" w:hAnsi="Times New Roman" w:cs="Times New Roman"/>
        </w:rPr>
        <w:instrText xml:space="preserve"> ADDIN ZOTERO_ITEM CSL_CITATION {"citationID":"glEsASBS","properties":{"formattedCitation":"Petra Guasti and Lenka Bu\\uc0\\u353{}t\\uc0\\u237{}kov\\uc0\\u225{}, \\uc0\\u8216{}Pandemic Power Grab\\uc0\\u8217{} (2022) 38 East European Politics 529; Kriszta Kov\\uc0\\u225{}cs, \\uc0\\u8216{}The COVID-19 Pandemic: A Pretext for Expanding Power in Hungary\\uc0\\u8217{} in Joelle Grogan and Alice Donald (eds), {\\i{}Routledge Handbook of Law and the COVID-19 Pandemic} (Routledge 2022).","plainCitation":"Petra Guasti and Lenka Buštíková, ‘Pandemic Power Grab’ (2022) 38 East European Politics 529; Kriszta Kovács, ‘The COVID-19 Pandemic: A Pretext for Expanding Power in Hungary’ in Joelle Grogan and Alice Donald (eds), Routledge Handbook of Law and the COVID-19 Pandemic (Routledge 2022).","noteIndex":15},"citationItems":[{"id":10243,"uris":["http://zotero.org/users/2073125/items/Y8KKIH5T"],"itemData":{"id":10243,"type":"article-journal","abstract":"Is Covid-19 undermining European democracies? Recent scholarship overlooks the fact that most pandemic-related erosions of democracy can be attributed to illiberal inertia long in place before 2019. Did the democratic decay occur during the pandemic or due to the pandemic? We analyse the extent to which pandemic power grabs succeeded and failed in Europe with special attention to the Czech Republic, Hungary, Poland, and Slovakia. The executive power of the purse was an opportunity to abuse state resources. Governments that engage in the “pandemic heist” with impunity can be directly linked to a power grab due to the pandemic.","container-title":"East European Politics","DOI":"10.1080/21599165.2022.2122049","ISSN":"2159-9165","issue":"4","note":"publisher: Routledge\n_eprint: https://doi.org/10.1080/21599165.2022.2122049","page":"529-550","source":"Taylor and Francis+NEJM","title":"Pandemic power grab","volume":"38","author":[{"family":"Guasti","given":"Petra"},{"family":"Buštíková","given":"Lenka"}],"issued":{"date-parts":[["2022",10,2]]}}},{"id":4929,"uris":["http://zotero.org/users/2073125/items/ECWE6NMZ"],"itemData":{"id":4929,"type":"chapter","container-title":"Routledge Handbook of Law and the COVID-19 Pandemic","event-place":"London","ISBN":"978-1-03-207885-4","language":"English","page":"259-270","publisher":"Routledge","publisher-place":"London","source":"Amazon","title":"The COVID-19 Pandemic: A Pretext for Expanding Power in Hungary","editor":[{"family":"Grogan","given":"Joelle"},{"family":"Donald","given":"Alice"}],"author":[{"family":"Kovács","given":"Kriszta"}],"issued":{"date-parts":[["2022",5,17]]}}}],"schema":"https://github.com/citation-style-language/schema/raw/master/csl-citation.json"} </w:instrText>
      </w:r>
      <w:r w:rsidRPr="00752C15">
        <w:rPr>
          <w:rFonts w:ascii="Times New Roman" w:hAnsi="Times New Roman" w:cs="Times New Roman"/>
        </w:rPr>
        <w:fldChar w:fldCharType="separate"/>
      </w:r>
      <w:r w:rsidRPr="00752C15">
        <w:rPr>
          <w:rFonts w:ascii="Times New Roman" w:hAnsi="Times New Roman" w:cs="Times New Roman"/>
        </w:rPr>
        <w:t xml:space="preserve">Petra Guasti and Lenka Buštíková, ‘Pandemic Power Grab’ (2022) 38 East European Politics 529; Kriszta Kovács, ‘The COVID-19 Pandemic: A Pretext for Expanding Power in Hungary’ in Joelle Grogan and Alice Donald (eds), </w:t>
      </w:r>
      <w:r w:rsidRPr="00752C15">
        <w:rPr>
          <w:rFonts w:ascii="Times New Roman" w:hAnsi="Times New Roman" w:cs="Times New Roman"/>
          <w:i/>
          <w:iCs/>
        </w:rPr>
        <w:t>Routledge Handbook of Law and the COVID-19 Pandemic</w:t>
      </w:r>
      <w:r w:rsidRPr="00752C15">
        <w:rPr>
          <w:rFonts w:ascii="Times New Roman" w:hAnsi="Times New Roman" w:cs="Times New Roman"/>
        </w:rPr>
        <w:t xml:space="preserve"> (Routledge 2022).</w:t>
      </w:r>
      <w:r w:rsidRPr="00752C15">
        <w:rPr>
          <w:rFonts w:ascii="Times New Roman" w:hAnsi="Times New Roman" w:cs="Times New Roman"/>
        </w:rPr>
        <w:fldChar w:fldCharType="end"/>
      </w:r>
    </w:p>
  </w:footnote>
  <w:footnote w:id="17">
    <w:p w14:paraId="0A97AB2B" w14:textId="3E2B91D0" w:rsidR="001C39AF" w:rsidRPr="00752C15" w:rsidRDefault="001C39AF" w:rsidP="00752C15">
      <w:pPr>
        <w:pStyle w:val="FootnoteText"/>
        <w:jc w:val="both"/>
        <w:rPr>
          <w:rFonts w:ascii="Times New Roman" w:hAnsi="Times New Roman" w:cs="Times New Roman"/>
          <w:lang w:val="en-US"/>
        </w:rPr>
      </w:pPr>
      <w:r w:rsidRPr="00DC52BD">
        <w:rPr>
          <w:rStyle w:val="FootnoteReference"/>
        </w:rPr>
        <w:footnoteRef/>
      </w:r>
      <w:r w:rsidRPr="00752C15">
        <w:rPr>
          <w:rFonts w:ascii="Times New Roman" w:hAnsi="Times New Roman" w:cs="Times New Roman"/>
        </w:rPr>
        <w:t xml:space="preserve"> </w:t>
      </w:r>
      <w:r w:rsidRPr="00752C15">
        <w:rPr>
          <w:rFonts w:ascii="Times New Roman" w:hAnsi="Times New Roman" w:cs="Times New Roman"/>
        </w:rPr>
        <w:fldChar w:fldCharType="begin"/>
      </w:r>
      <w:r w:rsidR="003F255E" w:rsidRPr="00752C15">
        <w:rPr>
          <w:rFonts w:ascii="Times New Roman" w:hAnsi="Times New Roman" w:cs="Times New Roman"/>
        </w:rPr>
        <w:instrText xml:space="preserve"> ADDIN ZOTERO_ITEM CSL_CITATION {"citationID":"T1fojKXL","properties":{"formattedCitation":"Stephen Thomson and Eric C Ip, \\uc0\\u8216{}COVID-19 Emergency Measures and the Impending Authoritarian Pandemic\\uc0\\u8217{} (2020) 7 Journal of Law and the Biosciences lsaa064, 32.","plainCitation":"Stephen Thomson and Eric C Ip, ‘COVID-19 Emergency Measures and the Impending Authoritarian Pandemic’ (2020) 7 Journal of Law and the Biosciences lsaa064, 32.","noteIndex":16},"citationItems":[{"id":4573,"uris":["http://zotero.org/users/2073125/items/GJNAAZ3B"],"itemData":{"id":4573,"type":"article-journal","abstract":"COVID-19 has brought the world grinding to a halt. As of early August 2020, the greatest public health emergency of the century thus far has registered almost 20 million infected people and claimed over 730,000 lives across all inhabited continents, bringing public health systems to their knees, and causing shutdowns of borders and lockdowns of cities, regions, and even nations unprecedented in the modern era. Yet, as this Article demonstrates—with diverse examples drawn from across the world—there are unmistakable regressions into authoritarianism in governmental efforts to contain the virus. Despite the unprecedented nature of this challenge, there is no sound justification for systemic erosion of rights-protective democratic ideals and institutions beyond that which is strictly demanded by the exigencies of the pandemic. A Wuhan-inspired all-or-nothing approach to viral containment sets a dangerous precedent for future pandemics and disasters, with the global copycat response indicating an impending ‘pandemic’ of a different sort, that of authoritarianization. With a gratuitous toll being inflicted on democracy, civil liberties, fundamental freedoms, healthcare ethics, and human dignity, this has the potential to unleash humanitarian crises no less devastating than COVID-19 in the long run.","container-title":"Journal of Law and the Biosciences","DOI":"10.1093/jlb/lsaa064","ISSN":"2053-9711","issue":"1","journalAbbreviation":"Journal of Law and the Biosciences","page":"lsaa064","source":"Silverchair","title":"COVID-19 emergency measures and the impending authoritarian pandemic","volume":"7","author":[{"family":"Thomson","given":"Stephen"},{"family":"Ip","given":"Eric C"}],"issued":{"date-parts":[["2020",7,25]]}},"locator":"32"}],"schema":"https://github.com/citation-style-language/schema/raw/master/csl-citation.json"} </w:instrText>
      </w:r>
      <w:r w:rsidRPr="00752C15">
        <w:rPr>
          <w:rFonts w:ascii="Times New Roman" w:hAnsi="Times New Roman" w:cs="Times New Roman"/>
        </w:rPr>
        <w:fldChar w:fldCharType="separate"/>
      </w:r>
      <w:r w:rsidR="00BF3BC4" w:rsidRPr="00752C15">
        <w:rPr>
          <w:rFonts w:ascii="Times New Roman" w:hAnsi="Times New Roman" w:cs="Times New Roman"/>
        </w:rPr>
        <w:t>Stephen Thomson and Eric C Ip, ‘COVID-19 Emergency Measures and the Impending Authoritarian Pandemic’ (2020) 7 Journal of Law and the Biosciences lsaa064, 32.</w:t>
      </w:r>
      <w:r w:rsidRPr="00752C15">
        <w:rPr>
          <w:rFonts w:ascii="Times New Roman" w:hAnsi="Times New Roman" w:cs="Times New Roman"/>
        </w:rPr>
        <w:fldChar w:fldCharType="end"/>
      </w:r>
    </w:p>
  </w:footnote>
  <w:footnote w:id="18">
    <w:p w14:paraId="24EC72FF" w14:textId="53C7DE95" w:rsidR="006A5F5B" w:rsidRPr="00752C15" w:rsidRDefault="006A5F5B" w:rsidP="00752C15">
      <w:pPr>
        <w:pStyle w:val="FootnoteText"/>
        <w:jc w:val="both"/>
        <w:rPr>
          <w:rFonts w:ascii="Times New Roman" w:hAnsi="Times New Roman" w:cs="Times New Roman"/>
          <w:lang w:val="sk-SK"/>
        </w:rPr>
      </w:pPr>
      <w:r w:rsidRPr="00DC52BD">
        <w:rPr>
          <w:rStyle w:val="FootnoteReference"/>
        </w:rPr>
        <w:footnoteRef/>
      </w:r>
      <w:r w:rsidRPr="00752C15">
        <w:rPr>
          <w:rFonts w:ascii="Times New Roman" w:hAnsi="Times New Roman" w:cs="Times New Roman"/>
        </w:rPr>
        <w:t xml:space="preserve"> </w:t>
      </w:r>
      <w:r w:rsidRPr="00752C15">
        <w:rPr>
          <w:rFonts w:ascii="Times New Roman" w:hAnsi="Times New Roman" w:cs="Times New Roman"/>
          <w:lang w:val="en-US"/>
        </w:rPr>
        <w:t xml:space="preserve">Tellingly, the first chapter of an early collection on the pandemic discusses the ‘crisis of democratic leadership’ as part of a ‘crisis of democratic governance’ in representative democracies. </w:t>
      </w:r>
      <w:r w:rsidRPr="00752C15">
        <w:rPr>
          <w:rFonts w:ascii="Times New Roman" w:hAnsi="Times New Roman" w:cs="Times New Roman"/>
        </w:rPr>
        <w:fldChar w:fldCharType="begin"/>
      </w:r>
      <w:r w:rsidR="003F255E" w:rsidRPr="00752C15">
        <w:rPr>
          <w:rFonts w:ascii="Times New Roman" w:hAnsi="Times New Roman" w:cs="Times New Roman"/>
        </w:rPr>
        <w:instrText xml:space="preserve"> ADDIN ZOTERO_ITEM CSL_CITATION {"citationID":"ZHcl3lMc","properties":{"formattedCitation":"Neil Walker, \\uc0\\u8216{}The Crisis of Democratic Leadership in Times of Pandemic\\uc0\\u8217{} in Miguel Poiares Maduro and Paul W Kahn (eds), {\\i{}Democracy in Times of Pandemic: Different Futures Imagined} (CUP 2020).","plainCitation":"Neil Walker, ‘The Crisis of Democratic Leadership in Times of Pandemic’ in Miguel Poiares Maduro and Paul W Kahn (eds), Democracy in Times of Pandemic: Different Futures Imagined (CUP 2020).","noteIndex":17},"citationItems":[{"id":4613,"uris":["http://zotero.org/users/2073125/items/N3SBC5LM"],"itemData":{"id":4613,"type":"chapter","abstract":"The COVID-19 pandemic has presented an important case study, on a global scale, of how democracy works - and fails to work - today. From leadership to citizenship, from due process to checks and balances, from globalization to misinformation, from solidarity within and across borders to the role of expertise, key democratic concepts both old and new are now being put to the test. The future of democracy around the world is at issue as today's governments manage their responses to the pandemic. Bringing together some of today's most creative thinkers, these essays offer a variety of inquiries into democracy during the global pandemic with a view to imagining post-crisis political conditions. Representing different regions and disciplines, including law, politics, philosophy, religion, and sociology, eighteen voices offer different outlooks - optimistic and pessimistic - on the future.","container-title":"Democracy in Times of Pandemic: Different Futures Imagined","event-place":"Cambridge","ISBN":"978-1-108-84536-6","language":"English","page":"23-37","publisher":"CUP","publisher-place":"Cambridge","source":"Amazon","title":"The Crisis of Democratic Leadership in Times of Pandemic","editor":[{"family":"Maduro","given":"Miguel Poiares"},{"family":"Kahn","given":"Paul W."}],"author":[{"family":"Walker","given":"Neil"}],"issued":{"date-parts":[["2020",11,12]]}}}],"schema":"https://github.com/citation-style-language/schema/raw/master/csl-citation.json"} </w:instrText>
      </w:r>
      <w:r w:rsidRPr="00752C15">
        <w:rPr>
          <w:rFonts w:ascii="Times New Roman" w:hAnsi="Times New Roman" w:cs="Times New Roman"/>
        </w:rPr>
        <w:fldChar w:fldCharType="separate"/>
      </w:r>
      <w:r w:rsidR="002314D4" w:rsidRPr="00752C15">
        <w:rPr>
          <w:rFonts w:ascii="Times New Roman" w:hAnsi="Times New Roman" w:cs="Times New Roman"/>
        </w:rPr>
        <w:t xml:space="preserve">Neil Walker, ‘The Crisis of Democratic Leadership in Times of Pandemic’ in Miguel Poiares Maduro and Paul W Kahn (eds), </w:t>
      </w:r>
      <w:r w:rsidR="002314D4" w:rsidRPr="00752C15">
        <w:rPr>
          <w:rFonts w:ascii="Times New Roman" w:hAnsi="Times New Roman" w:cs="Times New Roman"/>
          <w:i/>
          <w:iCs/>
        </w:rPr>
        <w:t>Democracy in Times of Pandemic: Different Futures Imagined</w:t>
      </w:r>
      <w:r w:rsidR="002314D4" w:rsidRPr="00752C15">
        <w:rPr>
          <w:rFonts w:ascii="Times New Roman" w:hAnsi="Times New Roman" w:cs="Times New Roman"/>
        </w:rPr>
        <w:t xml:space="preserve"> (CUP 2020).</w:t>
      </w:r>
      <w:r w:rsidRPr="00752C15">
        <w:rPr>
          <w:rFonts w:ascii="Times New Roman" w:hAnsi="Times New Roman" w:cs="Times New Roman"/>
        </w:rPr>
        <w:fldChar w:fldCharType="end"/>
      </w:r>
    </w:p>
  </w:footnote>
  <w:footnote w:id="19">
    <w:p w14:paraId="3929CE4F" w14:textId="18CE8D79" w:rsidR="006A5F5B" w:rsidRPr="00752C15" w:rsidRDefault="006A5F5B" w:rsidP="00752C15">
      <w:pPr>
        <w:pStyle w:val="FootnoteText"/>
        <w:jc w:val="both"/>
        <w:rPr>
          <w:rFonts w:ascii="Times New Roman" w:hAnsi="Times New Roman" w:cs="Times New Roman"/>
          <w:lang w:val="en-IN"/>
        </w:rPr>
      </w:pPr>
      <w:r w:rsidRPr="00DC52BD">
        <w:rPr>
          <w:rStyle w:val="FootnoteReference"/>
        </w:rPr>
        <w:footnoteRef/>
      </w:r>
      <w:r w:rsidRPr="00752C15">
        <w:rPr>
          <w:rFonts w:ascii="Times New Roman" w:hAnsi="Times New Roman" w:cs="Times New Roman"/>
        </w:rPr>
        <w:t xml:space="preserve"> </w:t>
      </w:r>
      <w:r w:rsidRPr="00752C15">
        <w:rPr>
          <w:rFonts w:ascii="Times New Roman" w:hAnsi="Times New Roman" w:cs="Times New Roman"/>
        </w:rPr>
        <w:fldChar w:fldCharType="begin"/>
      </w:r>
      <w:r w:rsidR="003F255E" w:rsidRPr="00752C15">
        <w:rPr>
          <w:rFonts w:ascii="Times New Roman" w:hAnsi="Times New Roman" w:cs="Times New Roman"/>
        </w:rPr>
        <w:instrText xml:space="preserve"> ADDIN ZOTERO_ITEM CSL_CITATION {"citationID":"NFQxJ6El","properties":{"formattedCitation":"E.g. John Ferejohn and Pasquale Pasquino, \\uc0\\u8216{}The Law of the Exception: A Typology of Emergency Powers\\uc0\\u8217{} (2004) 2 International Journal of Constitutional Law 210.","plainCitation":"E.g. John Ferejohn and Pasquale Pasquino, ‘The Law of the Exception: A Typology of Emergency Powers’ (2004) 2 International Journal of Constitutional Law 210.","noteIndex":18},"citationItems":[{"id":1193,"uris":["http://zotero.org/users/2073125/items/35FDI4P7"],"itemData":{"id":1193,"type":"article-journal","container-title":"International Journal of Constitutional Law","DOI":"10.1093/icon/2.2.210","ISSN":"1474-2640, 1474-2659","issue":"2","journalAbbreviation":"Int J Constitutional Law","language":"en","page":"210-239","source":"icon.oxfordjournals.org","title":"The law of the exception: A typology of emergency powers","title-short":"The law of the exception","volume":"2","author":[{"family":"Ferejohn","given":"John"},{"family":"Pasquino","given":"Pasquale"}],"issued":{"date-parts":[["2004",1,4]]}},"prefix":"E.g."}],"schema":"https://github.com/citation-style-language/schema/raw/master/csl-citation.json"} </w:instrText>
      </w:r>
      <w:r w:rsidRPr="00752C15">
        <w:rPr>
          <w:rFonts w:ascii="Times New Roman" w:hAnsi="Times New Roman" w:cs="Times New Roman"/>
        </w:rPr>
        <w:fldChar w:fldCharType="separate"/>
      </w:r>
      <w:r w:rsidR="00BF3BC4" w:rsidRPr="00752C15">
        <w:rPr>
          <w:rFonts w:ascii="Times New Roman" w:hAnsi="Times New Roman" w:cs="Times New Roman"/>
        </w:rPr>
        <w:t>E.g. John Ferejohn and Pasquale Pasquino, ‘The Law of the Exception: A Typology of Emergency Powers’ (2004) 2 International Journal of Constitutional Law 210.</w:t>
      </w:r>
      <w:r w:rsidRPr="00752C15">
        <w:rPr>
          <w:rFonts w:ascii="Times New Roman" w:hAnsi="Times New Roman" w:cs="Times New Roman"/>
        </w:rPr>
        <w:fldChar w:fldCharType="end"/>
      </w:r>
    </w:p>
  </w:footnote>
  <w:footnote w:id="20">
    <w:p w14:paraId="1C38C4A8" w14:textId="525733ED" w:rsidR="00E07918" w:rsidRPr="00752C15" w:rsidRDefault="00E07918" w:rsidP="00752C15">
      <w:pPr>
        <w:pStyle w:val="FootnoteText"/>
        <w:jc w:val="both"/>
        <w:rPr>
          <w:rFonts w:ascii="Times New Roman" w:hAnsi="Times New Roman" w:cs="Times New Roman"/>
          <w:lang w:val="en-US"/>
        </w:rPr>
      </w:pPr>
      <w:r w:rsidRPr="00DC52BD">
        <w:rPr>
          <w:rStyle w:val="FootnoteReference"/>
        </w:rPr>
        <w:footnoteRef/>
      </w:r>
      <w:r w:rsidRPr="00752C15">
        <w:rPr>
          <w:rFonts w:ascii="Times New Roman" w:hAnsi="Times New Roman" w:cs="Times New Roman"/>
        </w:rPr>
        <w:t xml:space="preserve"> </w:t>
      </w:r>
      <w:r w:rsidRPr="00752C15">
        <w:rPr>
          <w:rFonts w:ascii="Times New Roman" w:hAnsi="Times New Roman" w:cs="Times New Roman"/>
        </w:rPr>
        <w:fldChar w:fldCharType="begin"/>
      </w:r>
      <w:r w:rsidR="003F255E" w:rsidRPr="00752C15">
        <w:rPr>
          <w:rFonts w:ascii="Times New Roman" w:hAnsi="Times New Roman" w:cs="Times New Roman"/>
        </w:rPr>
        <w:instrText xml:space="preserve"> ADDIN ZOTERO_ITEM CSL_CITATION {"citationID":"IuD9QFVD","properties":{"formattedCitation":"David E Pozen and Kim Lane Scheppele, \\uc0\\u8216{}Executive Underreach, in Pandemics and Otherwise\\uc0\\u8217{} (2020) 114 American Journal of International Law 608.","plainCitation":"David E Pozen and Kim Lane Scheppele, ‘Executive Underreach, in Pandemics and Otherwise’ (2020) 114 American Journal of International Law 608.","noteIndex":19},"citationItems":[{"id":102,"uris":["http://zotero.org/users/2073125/items/5PYLQAV8"],"itemData":{"id":102,"type":"article-journal","abstract":"Legal scholars are familiar with the problem of executive overreach, especially in emergencies. But sometimes, instead of being too audacious or extreme, a national executive's attempts to address a true threat prove far too limited and insubstantial. In this Essay, we seek to define and clarify the phenomenon of executive underreach, with special reference to the COVID-19 crisis; to outline ways in which such underreach may compromise constitutional governance and the international legal order; and to suggest a partial remedy.","container-title":"American Journal of International Law","DOI":"10.1017/ajil.2020.59","ISSN":"0002-9300, 2161-7953","issue":"4","language":"en","note":"publisher: Cambridge University Press","page":"608-617","source":"Cambridge University Press","title":"Executive Underreach, in Pandemics and Otherwise","volume":"114","author":[{"family":"Pozen","given":"David E."},{"family":"Scheppele","given":"Kim Lane"}],"issued":{"date-parts":[["2020",10]]}}}],"schema":"https://github.com/citation-style-language/schema/raw/master/csl-citation.json"} </w:instrText>
      </w:r>
      <w:r w:rsidRPr="00752C15">
        <w:rPr>
          <w:rFonts w:ascii="Times New Roman" w:hAnsi="Times New Roman" w:cs="Times New Roman"/>
        </w:rPr>
        <w:fldChar w:fldCharType="separate"/>
      </w:r>
      <w:r w:rsidR="00BF3BC4" w:rsidRPr="00752C15">
        <w:rPr>
          <w:rFonts w:ascii="Times New Roman" w:hAnsi="Times New Roman" w:cs="Times New Roman"/>
        </w:rPr>
        <w:t>David E Pozen and Kim Lane Scheppele, ‘Executive Underreach, in Pandemics and Otherwise’ (2020) 114 American Journal of International Law 608.</w:t>
      </w:r>
      <w:r w:rsidRPr="00752C15">
        <w:rPr>
          <w:rFonts w:ascii="Times New Roman" w:hAnsi="Times New Roman" w:cs="Times New Roman"/>
        </w:rPr>
        <w:fldChar w:fldCharType="end"/>
      </w:r>
    </w:p>
  </w:footnote>
  <w:footnote w:id="21">
    <w:p w14:paraId="76A620F0" w14:textId="2071466F" w:rsidR="00DB47AB" w:rsidRPr="00752C15" w:rsidRDefault="00DB47AB" w:rsidP="00752C15">
      <w:pPr>
        <w:pStyle w:val="FootnoteText"/>
        <w:jc w:val="both"/>
        <w:rPr>
          <w:rFonts w:ascii="Times New Roman" w:hAnsi="Times New Roman" w:cs="Times New Roman"/>
          <w:lang w:val="sk-SK"/>
        </w:rPr>
      </w:pPr>
      <w:r w:rsidRPr="00DC52BD">
        <w:rPr>
          <w:rStyle w:val="FootnoteReference"/>
        </w:rPr>
        <w:footnoteRef/>
      </w:r>
      <w:r w:rsidRPr="00752C15">
        <w:rPr>
          <w:rFonts w:ascii="Times New Roman" w:hAnsi="Times New Roman" w:cs="Times New Roman"/>
        </w:rPr>
        <w:t xml:space="preserve"> </w:t>
      </w:r>
      <w:r w:rsidRPr="00752C15">
        <w:rPr>
          <w:rFonts w:ascii="Times New Roman" w:hAnsi="Times New Roman" w:cs="Times New Roman"/>
        </w:rPr>
        <w:fldChar w:fldCharType="begin"/>
      </w:r>
      <w:r w:rsidR="003F255E" w:rsidRPr="00752C15">
        <w:rPr>
          <w:rFonts w:ascii="Times New Roman" w:hAnsi="Times New Roman" w:cs="Times New Roman"/>
        </w:rPr>
        <w:instrText xml:space="preserve"> ADDIN ZOTERO_ITEM CSL_CITATION {"citationID":"piTlx8Dj","properties":{"formattedCitation":"Hans Petter Graver, \\uc0\\u8216{}Baselining COVID-19: How Do We Assess the Success or Failure of the Responses of Governments to the Pandemic?\\uc0\\u8217{} in Joelle Grogan and Alice Donald (eds), {\\i{}Routledge Handbook of Law and the COVID-19 Pandemic} (Routledge 2022) 223\\uc0\\u8211{}224.","plainCitation":"Hans Petter Graver, ‘Baselining COVID-19: How Do We Assess the Success or Failure of the Responses of Governments to the Pandemic?’ in Joelle Grogan and Alice Donald (eds), Routledge Handbook of Law and the COVID-19 Pandemic (Routledge 2022) 223–224.","noteIndex":20},"citationItems":[{"id":10872,"uris":["http://zotero.org/users/2073125/items/3YIT538W"],"itemData":{"id":10872,"type":"chapter","container-title":"Routledge Handbook of Law and the COVID-19 Pandemic","event-place":"London","ISBN":"978-1-03-207885-4","language":"English","page":"214-224","publisher":"Routledge","publisher-place":"London","source":"Amazon","title":"Baselining COVID-19: How Do We Assess the Success or Failure of the Responses of Governments to the Pandemic?","editor":[{"family":"Grogan","given":"Joelle"},{"family":"Donald","given":"Alice"}],"author":[{"family":"Graver","given":"Hans Petter"}],"issued":{"date-parts":[["2022",5,17]]}},"locator":"223-224","label":"page"}],"schema":"https://github.com/citation-style-language/schema/raw/master/csl-citation.json"} </w:instrText>
      </w:r>
      <w:r w:rsidRPr="00752C15">
        <w:rPr>
          <w:rFonts w:ascii="Times New Roman" w:hAnsi="Times New Roman" w:cs="Times New Roman"/>
        </w:rPr>
        <w:fldChar w:fldCharType="separate"/>
      </w:r>
      <w:r w:rsidRPr="00752C15">
        <w:rPr>
          <w:rFonts w:ascii="Times New Roman" w:hAnsi="Times New Roman" w:cs="Times New Roman"/>
        </w:rPr>
        <w:t xml:space="preserve">Hans Petter Graver, ‘Baselining COVID-19: How Do We Assess the Success or Failure of the Responses of Governments to the Pandemic?’ in Joelle Grogan and Alice Donald (eds), </w:t>
      </w:r>
      <w:r w:rsidRPr="00752C15">
        <w:rPr>
          <w:rFonts w:ascii="Times New Roman" w:hAnsi="Times New Roman" w:cs="Times New Roman"/>
          <w:i/>
          <w:iCs/>
        </w:rPr>
        <w:t>Routledge Handbook of Law and the COVID-19 Pandemic</w:t>
      </w:r>
      <w:r w:rsidRPr="00752C15">
        <w:rPr>
          <w:rFonts w:ascii="Times New Roman" w:hAnsi="Times New Roman" w:cs="Times New Roman"/>
        </w:rPr>
        <w:t xml:space="preserve"> (Routledge 2022) 223–224.</w:t>
      </w:r>
      <w:r w:rsidRPr="00752C15">
        <w:rPr>
          <w:rFonts w:ascii="Times New Roman" w:hAnsi="Times New Roman" w:cs="Times New Roman"/>
        </w:rPr>
        <w:fldChar w:fldCharType="end"/>
      </w:r>
    </w:p>
  </w:footnote>
  <w:footnote w:id="22">
    <w:p w14:paraId="3403E7A4" w14:textId="4C759C66" w:rsidR="006904DA" w:rsidRPr="00752C15" w:rsidRDefault="006904DA" w:rsidP="00752C15">
      <w:pPr>
        <w:pStyle w:val="FootnoteText"/>
        <w:jc w:val="both"/>
        <w:rPr>
          <w:rFonts w:ascii="Times New Roman" w:hAnsi="Times New Roman" w:cs="Times New Roman"/>
          <w:lang w:val="sk-SK"/>
        </w:rPr>
      </w:pPr>
      <w:r w:rsidRPr="00DC52BD">
        <w:rPr>
          <w:rStyle w:val="FootnoteReference"/>
        </w:rPr>
        <w:footnoteRef/>
      </w:r>
      <w:r w:rsidRPr="00A14EB2">
        <w:rPr>
          <w:rFonts w:ascii="Times New Roman" w:hAnsi="Times New Roman" w:cs="Times New Roman"/>
          <w:lang w:val="de-DE"/>
        </w:rPr>
        <w:t xml:space="preserve"> </w:t>
      </w:r>
      <w:r w:rsidRPr="00752C15">
        <w:rPr>
          <w:rFonts w:ascii="Times New Roman" w:hAnsi="Times New Roman" w:cs="Times New Roman"/>
        </w:rPr>
        <w:fldChar w:fldCharType="begin"/>
      </w:r>
      <w:r w:rsidR="003F255E" w:rsidRPr="00A14EB2">
        <w:rPr>
          <w:rFonts w:ascii="Times New Roman" w:hAnsi="Times New Roman" w:cs="Times New Roman"/>
          <w:lang w:val="de-DE"/>
        </w:rPr>
        <w:instrText xml:space="preserve"> ADDIN ZOTERO_ITEM CSL_CITATION {"citationID":"S8nI3jq7","properties":{"formattedCitation":"Pozen and Scheppele (n 19) 610.","plainCitation":"Pozen and Scheppele (n 19) 610.","noteIndex":21},"citationItems":[{"id":102,"uris":["http://zotero.org/users/2073125/items/5PYLQAV8"],"itemData":{"id":102,"type":"article-journal","abstract":"Legal scholars are familiar with the problem of executive overreach, especially in emergencies. But sometimes, instead of being too audacious or extreme, a national executive's attempts to address a true threat prove far too limited and insubstantial. In this Essay, we seek to define and clarify the phenomenon of executive underreach, with special reference to the COVID-19 crisis; to outline ways in which such underreach may compromise constitutional governance and the international legal order; and to suggest a partial remedy.","container-title":"American Journal of International Law","DOI":"10.1017/ajil.2020.59","ISSN":"0002-9300, 2161-7953","issue":"4","language":"en","note":"publisher: Cambridge University Press","page":"608-617","source":"Cambridge University Press","title":"Executive Underreach, in Pandemics and Otherwise","volume":"114","author":[{"family":"Pozen","given":"David E."},{"family":"Scheppele","given":"Kim Lane"}],"issued":{"date-parts":[["2020",10]]}},"locator":"610","label":"page"}],"schema":"https://github.com/citation-style-language/schema/raw/master/csl-citation.json"} </w:instrText>
      </w:r>
      <w:r w:rsidRPr="00752C15">
        <w:rPr>
          <w:rFonts w:ascii="Times New Roman" w:hAnsi="Times New Roman" w:cs="Times New Roman"/>
        </w:rPr>
        <w:fldChar w:fldCharType="separate"/>
      </w:r>
      <w:r w:rsidR="003F255E" w:rsidRPr="00A14EB2">
        <w:rPr>
          <w:rFonts w:ascii="Times New Roman" w:hAnsi="Times New Roman" w:cs="Times New Roman"/>
          <w:lang w:val="de-DE"/>
        </w:rPr>
        <w:t>Pozen and Scheppele (n 19) 610.</w:t>
      </w:r>
      <w:r w:rsidRPr="00752C15">
        <w:rPr>
          <w:rFonts w:ascii="Times New Roman" w:hAnsi="Times New Roman" w:cs="Times New Roman"/>
        </w:rPr>
        <w:fldChar w:fldCharType="end"/>
      </w:r>
    </w:p>
  </w:footnote>
  <w:footnote w:id="23">
    <w:p w14:paraId="44FDACCC" w14:textId="57235B48" w:rsidR="00E54CF3" w:rsidRPr="00752C15" w:rsidRDefault="00E54CF3" w:rsidP="00752C15">
      <w:pPr>
        <w:pStyle w:val="FootnoteText"/>
        <w:jc w:val="both"/>
        <w:rPr>
          <w:rFonts w:ascii="Times New Roman" w:hAnsi="Times New Roman" w:cs="Times New Roman"/>
          <w:lang w:val="sk-SK"/>
        </w:rPr>
      </w:pPr>
      <w:r w:rsidRPr="00DC52BD">
        <w:rPr>
          <w:rStyle w:val="FootnoteReference"/>
        </w:rPr>
        <w:footnoteRef/>
      </w:r>
      <w:r w:rsidRPr="00A14EB2">
        <w:rPr>
          <w:rFonts w:ascii="Times New Roman" w:hAnsi="Times New Roman" w:cs="Times New Roman"/>
          <w:lang w:val="de-DE"/>
        </w:rPr>
        <w:t xml:space="preserve"> </w:t>
      </w:r>
      <w:r w:rsidRPr="00752C15">
        <w:rPr>
          <w:rFonts w:ascii="Times New Roman" w:hAnsi="Times New Roman" w:cs="Times New Roman"/>
        </w:rPr>
        <w:fldChar w:fldCharType="begin"/>
      </w:r>
      <w:r w:rsidR="003F255E" w:rsidRPr="00A14EB2">
        <w:rPr>
          <w:rFonts w:ascii="Times New Roman" w:hAnsi="Times New Roman" w:cs="Times New Roman"/>
          <w:lang w:val="de-DE"/>
        </w:rPr>
        <w:instrText xml:space="preserve"> ADDIN ZOTERO_ITEM CSL_CITATION {"citationID":"7nFgtOwv","properties":{"formattedCitation":"ibid 609.","plainCitation":"ibid 609.","noteIndex":22},"citationItems":[{"id":102,"uris":["http://zotero.org/users/2073125/items/5PYLQAV8"],"itemData":{"id":102,"type":"article-journal","abstract":"Legal scholars are familiar with the problem of executive overreach, especially in emergencies. But sometimes, instead of being too audacious or extreme, a national executive's attempts to address a true threat prove far too limited and insubstantial. In this Essay, we seek to define and clarify the phenomenon of executive underreach, with special reference to the COVID-19 crisis; to outline ways in which such underreach may compromise constitutional governance and the international legal order; and to suggest a partial remedy.","container-title":"American Journal of International Law","DOI":"10.1017/ajil.2020.59","ISSN":"0002-9300, 2161-7953","issue":"4","language":"en","note":"publisher: Cambridge University Press","page":"608-617","source":"Cambridge University Press","title":"Executive Underreach, in Pandemics and Otherwise","volume":"114","author":[{"family":"Pozen","given":"David E."},{"family":"Scheppele","given":"Kim Lane"}],"issued":{"date-parts":[["2020",10]]}},"locator":"609","label":"page"}],"schema":"https://github.com/citation-style-language/schema/raw/master/csl-citation.json"} </w:instrText>
      </w:r>
      <w:r w:rsidRPr="00752C15">
        <w:rPr>
          <w:rFonts w:ascii="Times New Roman" w:hAnsi="Times New Roman" w:cs="Times New Roman"/>
        </w:rPr>
        <w:fldChar w:fldCharType="separate"/>
      </w:r>
      <w:r w:rsidRPr="00A14EB2">
        <w:rPr>
          <w:rFonts w:ascii="Times New Roman" w:hAnsi="Times New Roman" w:cs="Times New Roman"/>
          <w:lang w:val="de-DE"/>
        </w:rPr>
        <w:t>ibid 609.</w:t>
      </w:r>
      <w:r w:rsidRPr="00752C15">
        <w:rPr>
          <w:rFonts w:ascii="Times New Roman" w:hAnsi="Times New Roman" w:cs="Times New Roman"/>
        </w:rPr>
        <w:fldChar w:fldCharType="end"/>
      </w:r>
    </w:p>
  </w:footnote>
  <w:footnote w:id="24">
    <w:p w14:paraId="5A8D8AC7" w14:textId="573F3C9F" w:rsidR="00F10697" w:rsidRPr="00752C15" w:rsidRDefault="00F10697" w:rsidP="00752C15">
      <w:pPr>
        <w:pStyle w:val="FootnoteText"/>
        <w:jc w:val="both"/>
        <w:rPr>
          <w:rFonts w:ascii="Times New Roman" w:hAnsi="Times New Roman" w:cs="Times New Roman"/>
          <w:lang w:val="en-IN"/>
        </w:rPr>
      </w:pPr>
      <w:r w:rsidRPr="00DC52BD">
        <w:rPr>
          <w:rStyle w:val="FootnoteReference"/>
        </w:rPr>
        <w:footnoteRef/>
      </w:r>
      <w:r w:rsidRPr="00752C15">
        <w:rPr>
          <w:rFonts w:ascii="Times New Roman" w:hAnsi="Times New Roman" w:cs="Times New Roman"/>
        </w:rPr>
        <w:t xml:space="preserve"> </w:t>
      </w:r>
      <w:r w:rsidRPr="00752C15">
        <w:rPr>
          <w:rFonts w:ascii="Times New Roman" w:hAnsi="Times New Roman" w:cs="Times New Roman"/>
        </w:rPr>
        <w:fldChar w:fldCharType="begin"/>
      </w:r>
      <w:r w:rsidR="003F255E" w:rsidRPr="00752C15">
        <w:rPr>
          <w:rFonts w:ascii="Times New Roman" w:hAnsi="Times New Roman" w:cs="Times New Roman"/>
        </w:rPr>
        <w:instrText xml:space="preserve"> ADDIN ZOTERO_ITEM CSL_CITATION {"citationID":"ZJBaGTHM","properties":{"formattedCitation":"Pozen and Scheppele (n 19).","plainCitation":"Pozen and Scheppele (n 19).","noteIndex":23},"citationItems":[{"id":102,"uris":["http://zotero.org/users/2073125/items/5PYLQAV8"],"itemData":{"id":102,"type":"article-journal","abstract":"Legal scholars are familiar with the problem of executive overreach, especially in emergencies. But sometimes, instead of being too audacious or extreme, a national executive's attempts to address a true threat prove far too limited and insubstantial. In this Essay, we seek to define and clarify the phenomenon of executive underreach, with special reference to the COVID-19 crisis; to outline ways in which such underreach may compromise constitutional governance and the international legal order; and to suggest a partial remedy.","container-title":"American Journal of International Law","DOI":"10.1017/ajil.2020.59","ISSN":"0002-9300, 2161-7953","issue":"4","language":"en","note":"publisher: Cambridge University Press","page":"608-617","source":"Cambridge University Press","title":"Executive Underreach, in Pandemics and Otherwise","volume":"114","author":[{"family":"Pozen","given":"David E."},{"family":"Scheppele","given":"Kim Lane"}],"issued":{"date-parts":[["2020",10]]}}}],"schema":"https://github.com/citation-style-language/schema/raw/master/csl-citation.json"} </w:instrText>
      </w:r>
      <w:r w:rsidRPr="00752C15">
        <w:rPr>
          <w:rFonts w:ascii="Times New Roman" w:hAnsi="Times New Roman" w:cs="Times New Roman"/>
        </w:rPr>
        <w:fldChar w:fldCharType="separate"/>
      </w:r>
      <w:r w:rsidR="003F255E" w:rsidRPr="00752C15">
        <w:rPr>
          <w:rFonts w:ascii="Times New Roman" w:hAnsi="Times New Roman" w:cs="Times New Roman"/>
        </w:rPr>
        <w:t>Pozen and Scheppele (n 19).</w:t>
      </w:r>
      <w:r w:rsidRPr="00752C15">
        <w:rPr>
          <w:rFonts w:ascii="Times New Roman" w:hAnsi="Times New Roman" w:cs="Times New Roman"/>
        </w:rPr>
        <w:fldChar w:fldCharType="end"/>
      </w:r>
      <w:r w:rsidRPr="00752C15">
        <w:rPr>
          <w:rFonts w:ascii="Times New Roman" w:hAnsi="Times New Roman" w:cs="Times New Roman"/>
        </w:rPr>
        <w:t xml:space="preserve"> </w:t>
      </w:r>
      <w:r w:rsidR="00E415DD" w:rsidRPr="00752C15">
        <w:rPr>
          <w:rFonts w:ascii="Times New Roman" w:hAnsi="Times New Roman" w:cs="Times New Roman"/>
        </w:rPr>
        <w:t xml:space="preserve">A similar edited volume chapter by the authors </w:t>
      </w:r>
      <w:r w:rsidRPr="00752C15">
        <w:rPr>
          <w:rFonts w:ascii="Times New Roman" w:hAnsi="Times New Roman" w:cs="Times New Roman"/>
        </w:rPr>
        <w:t xml:space="preserve">is referred </w:t>
      </w:r>
      <w:r w:rsidR="00E415DD" w:rsidRPr="00752C15">
        <w:rPr>
          <w:rFonts w:ascii="Times New Roman" w:hAnsi="Times New Roman" w:cs="Times New Roman"/>
        </w:rPr>
        <w:t>when</w:t>
      </w:r>
      <w:r w:rsidRPr="00752C15">
        <w:rPr>
          <w:rFonts w:ascii="Times New Roman" w:hAnsi="Times New Roman" w:cs="Times New Roman"/>
        </w:rPr>
        <w:t xml:space="preserve"> it provides additional claims. </w:t>
      </w:r>
      <w:r w:rsidRPr="00752C15">
        <w:rPr>
          <w:rFonts w:ascii="Times New Roman" w:hAnsi="Times New Roman" w:cs="Times New Roman"/>
        </w:rPr>
        <w:fldChar w:fldCharType="begin"/>
      </w:r>
      <w:r w:rsidR="003F255E" w:rsidRPr="00752C15">
        <w:rPr>
          <w:rFonts w:ascii="Times New Roman" w:hAnsi="Times New Roman" w:cs="Times New Roman"/>
        </w:rPr>
        <w:instrText xml:space="preserve"> ADDIN ZOTERO_ITEM CSL_CITATION {"citationID":"315if0RJ","properties":{"formattedCitation":"Kim Lane Scheppele and David Pozen, \\uc0\\u8216{}Executive Overreach and Underreach in the Pandemic\\uc0\\u8217{} in Miguel Poiares Maduro and Paul W Kahn (eds), {\\i{}Democracy in Times of Pandemic: Different Futures Imagined} (CUP 2020).","plainCitation":"Kim Lane Scheppele and David Pozen, ‘Executive Overreach and Underreach in the Pandemic’ in Miguel Poiares Maduro and Paul W Kahn (eds), Democracy in Times of Pandemic: Different Futures Imagined (CUP 2020).","noteIndex":23},"citationItems":[{"id":4609,"uris":["http://zotero.org/users/2073125/items/Q9539B79"],"itemData":{"id":4609,"type":"chapter","abstract":"The COVID-19 pandemic has presented an important case study, on a global scale, of how democracy works - and fails to work - today. From leadership to citizenship, from due process to checks and balances, from globalization to misinformation, from solidarity within and across borders to the role of expertise, key democratic concepts both old and new are now being put to the test. The future of democracy around the world is at issue as today's governments manage their responses to the pandemic. Bringing together some of today's most creative thinkers, these essays offer a variety of inquiries into democracy during the global pandemic with a view to imagining post-crisis political conditions. Representing different regions and disciplines, including law, politics, philosophy, religion, and sociology, eighteen voices offer different outlooks - optimistic and pessimistic - on the future.","container-title":"Democracy in Times of Pandemic: Different Futures Imagined","event-place":"Cambridge","ISBN":"978-1-108-84536-6","language":"English","page":"38-53","publisher":"CUP","publisher-place":"Cambridge","source":"Amazon","title":"Executive Overreach and Underreach in the Pandemic","editor":[{"family":"Maduro","given":"Miguel Poiares"},{"family":"Kahn","given":"Paul W."}],"author":[{"family":"Scheppele","given":"Kim Lane"},{"family":"Pozen","given":"David"}],"issued":{"date-parts":[["2020",11,12]]}}}],"schema":"https://github.com/citation-style-language/schema/raw/master/csl-citation.json"} </w:instrText>
      </w:r>
      <w:r w:rsidRPr="00752C15">
        <w:rPr>
          <w:rFonts w:ascii="Times New Roman" w:hAnsi="Times New Roman" w:cs="Times New Roman"/>
        </w:rPr>
        <w:fldChar w:fldCharType="separate"/>
      </w:r>
      <w:r w:rsidRPr="00752C15">
        <w:rPr>
          <w:rFonts w:ascii="Times New Roman" w:hAnsi="Times New Roman" w:cs="Times New Roman"/>
        </w:rPr>
        <w:t xml:space="preserve">Kim Lane Scheppele and David Pozen, ‘Executive Overreach and Underreach in the Pandemic’ in Miguel Poiares Maduro and Paul W Kahn (eds), </w:t>
      </w:r>
      <w:r w:rsidRPr="00752C15">
        <w:rPr>
          <w:rFonts w:ascii="Times New Roman" w:hAnsi="Times New Roman" w:cs="Times New Roman"/>
          <w:i/>
          <w:iCs/>
        </w:rPr>
        <w:t>Democracy in Times of Pandemic: Different Futures Imagined</w:t>
      </w:r>
      <w:r w:rsidRPr="00752C15">
        <w:rPr>
          <w:rFonts w:ascii="Times New Roman" w:hAnsi="Times New Roman" w:cs="Times New Roman"/>
        </w:rPr>
        <w:t xml:space="preserve"> (CUP 2020).</w:t>
      </w:r>
      <w:r w:rsidRPr="00752C15">
        <w:rPr>
          <w:rFonts w:ascii="Times New Roman" w:hAnsi="Times New Roman" w:cs="Times New Roman"/>
        </w:rPr>
        <w:fldChar w:fldCharType="end"/>
      </w:r>
      <w:r w:rsidRPr="00752C15">
        <w:rPr>
          <w:rFonts w:ascii="Times New Roman" w:hAnsi="Times New Roman" w:cs="Times New Roman"/>
        </w:rPr>
        <w:t xml:space="preserve"> </w:t>
      </w:r>
    </w:p>
  </w:footnote>
  <w:footnote w:id="25">
    <w:p w14:paraId="63CED7C7" w14:textId="7CFAE2B3" w:rsidR="003D754F" w:rsidRPr="00752C15" w:rsidRDefault="003D754F" w:rsidP="00752C15">
      <w:pPr>
        <w:pStyle w:val="FootnoteText"/>
        <w:jc w:val="both"/>
        <w:rPr>
          <w:rFonts w:ascii="Times New Roman" w:hAnsi="Times New Roman" w:cs="Times New Roman"/>
        </w:rPr>
      </w:pPr>
      <w:r w:rsidRPr="00DC52BD">
        <w:rPr>
          <w:rStyle w:val="FootnoteReference"/>
        </w:rPr>
        <w:footnoteRef/>
      </w:r>
      <w:r w:rsidRPr="00752C15">
        <w:rPr>
          <w:rFonts w:ascii="Times New Roman" w:hAnsi="Times New Roman" w:cs="Times New Roman"/>
        </w:rPr>
        <w:t xml:space="preserve"> </w:t>
      </w:r>
      <w:r w:rsidRPr="00752C15">
        <w:rPr>
          <w:rFonts w:ascii="Times New Roman" w:hAnsi="Times New Roman" w:cs="Times New Roman"/>
        </w:rPr>
        <w:fldChar w:fldCharType="begin"/>
      </w:r>
      <w:r w:rsidR="003F255E" w:rsidRPr="00752C15">
        <w:rPr>
          <w:rFonts w:ascii="Times New Roman" w:hAnsi="Times New Roman" w:cs="Times New Roman"/>
        </w:rPr>
        <w:instrText xml:space="preserve"> ADDIN ZOTERO_ITEM CSL_CITATION {"citationID":"PEkFWRtI","properties":{"formattedCitation":"G\\uc0\\u225{}bor Halmai, \\uc0\\u8216{}The Pandemic and Constitutionalism\\uc0\\u8217{} (2022) 4 Jus Cogens 303, 309.","plainCitation":"Gábor Halmai, ‘The Pandemic and Constitutionalism’ (2022) 4 Jus Cogens 303, 309.","noteIndex":24},"citationItems":[{"id":9607,"uris":["http://zotero.org/users/2073125/items/JNWS59SZ"],"itemData":{"id":9607,"type":"article-journal","abstract":"The paper discusses the reactions of different political and constitutional systems reactions to the pandemic and also the impact of COVID to populism, constitutionalism, and autocracy. Beyond the choice between economic and health considerations also applied in liberal democratic countries, which have lead either to “under-” or “overreaction” to the pandemic, certain illiberal regimes used the crisis situation as a pretext to strengthen the autocratic character of their systems. In some cases, this needed an “underreach,” like in Poland to insist on the presidential election, which has been important to entrench the power of the governing party’s incumbent, elsewhere “overreach,” like in Hungary, where an unlimited emergency power of government has been introduced after the very first cases of contagion. These autocratic “overreactions” have breached the formerly used authoritarian legalistic approaches by openly violating their own illiberal constitutions. New “conservative” theories on “common good constitutionalism” emerged to legitimize the necessity of authoritative rule by the executive power. The paper concludes that one possibility to overcome authoritarian populism and restore constitutionalism in crisis situation such as the COVID-19 pandemic would be to rely on the involvement of the well informed public, one that is capable to understand and assess the advice of the meritocratic elite. This kind of participation would also help build up a constitutional culture necessary to preserve the values of constitutionalism.","container-title":"Jus Cogens","DOI":"10.1007/s42439-022-00069-2","ISSN":"2524-3985","issue":"3","journalAbbreviation":"Jus Cogens","language":"en","page":"303–315","source":"Springer Link","title":"The Pandemic and Constitutionalism","volume":"4","author":[{"family":"Halmai","given":"Gábor"}],"issued":{"date-parts":[["2022",11,17]]}},"locator":"309","label":"page"}],"schema":"https://github.com/citation-style-language/schema/raw/master/csl-citation.json"} </w:instrText>
      </w:r>
      <w:r w:rsidRPr="00752C15">
        <w:rPr>
          <w:rFonts w:ascii="Times New Roman" w:hAnsi="Times New Roman" w:cs="Times New Roman"/>
        </w:rPr>
        <w:fldChar w:fldCharType="separate"/>
      </w:r>
      <w:r w:rsidRPr="00752C15">
        <w:rPr>
          <w:rFonts w:ascii="Times New Roman" w:hAnsi="Times New Roman" w:cs="Times New Roman"/>
        </w:rPr>
        <w:t>Gábor Halmai, ‘The Pandemic and Constitutionalism’ (2022) 4 Jus Cogens 303, 309.</w:t>
      </w:r>
      <w:r w:rsidRPr="00752C15">
        <w:rPr>
          <w:rFonts w:ascii="Times New Roman" w:hAnsi="Times New Roman" w:cs="Times New Roman"/>
        </w:rPr>
        <w:fldChar w:fldCharType="end"/>
      </w:r>
    </w:p>
  </w:footnote>
  <w:footnote w:id="26">
    <w:p w14:paraId="29C67716" w14:textId="37883F5C" w:rsidR="000C4E59" w:rsidRPr="00752C15" w:rsidRDefault="000C4E59" w:rsidP="00752C15">
      <w:pPr>
        <w:pStyle w:val="FootnoteText"/>
        <w:jc w:val="both"/>
        <w:rPr>
          <w:rFonts w:ascii="Times New Roman" w:hAnsi="Times New Roman" w:cs="Times New Roman"/>
          <w:lang w:val="en-US"/>
        </w:rPr>
      </w:pPr>
      <w:r w:rsidRPr="00DC52BD">
        <w:rPr>
          <w:rStyle w:val="FootnoteReference"/>
        </w:rPr>
        <w:footnoteRef/>
      </w:r>
      <w:r w:rsidRPr="00752C15">
        <w:rPr>
          <w:rFonts w:ascii="Times New Roman" w:hAnsi="Times New Roman" w:cs="Times New Roman"/>
        </w:rPr>
        <w:t xml:space="preserve"> </w:t>
      </w:r>
      <w:r w:rsidRPr="00752C15">
        <w:rPr>
          <w:rFonts w:ascii="Times New Roman" w:hAnsi="Times New Roman" w:cs="Times New Roman"/>
        </w:rPr>
        <w:fldChar w:fldCharType="begin"/>
      </w:r>
      <w:r w:rsidR="003F255E" w:rsidRPr="00752C15">
        <w:rPr>
          <w:rFonts w:ascii="Times New Roman" w:hAnsi="Times New Roman" w:cs="Times New Roman"/>
        </w:rPr>
        <w:instrText xml:space="preserve"> ADDIN ZOTERO_ITEM CSL_CITATION {"citationID":"voiYuT7t","properties":{"formattedCitation":"Noa Ben-Asher, \\uc0\\u8216{}The Emergency next Time\\uc0\\u8217{} (2022) 18 Stanford Journal of Civil Rights &amp; Civil Liberties 51.","plainCitation":"Noa Ben-Asher, ‘The Emergency next Time’ (2022) 18 Stanford Journal of Civil Rights &amp; Civil Liberties 51.","noteIndex":25},"citationItems":[{"id":10768,"uris":["http://zotero.org/users/2073125/items/BFMSYHCD"],"itemData":{"id":10768,"type":"article-journal","container-title":"Stanford Journal of Civil Rights &amp; Civil Liberties","journalAbbreviation":"Stan. J. C.R. &amp; C.L.","language":"EN","page":"51-99","title":"The Emergency next Time","volume":"18","author":[{"family":"Ben-Asher","given":"Noa"}],"issued":{"date-parts":[["2022"]]}}}],"schema":"https://github.com/citation-style-language/schema/raw/master/csl-citation.json"} </w:instrText>
      </w:r>
      <w:r w:rsidRPr="00752C15">
        <w:rPr>
          <w:rFonts w:ascii="Times New Roman" w:hAnsi="Times New Roman" w:cs="Times New Roman"/>
        </w:rPr>
        <w:fldChar w:fldCharType="separate"/>
      </w:r>
      <w:r w:rsidRPr="00752C15">
        <w:rPr>
          <w:rFonts w:ascii="Times New Roman" w:hAnsi="Times New Roman" w:cs="Times New Roman"/>
        </w:rPr>
        <w:t>Noa Ben-Asher, ‘The Emergency next Time’ (2022) 18 Stanford Journal of Civil Rights &amp; Civil Liberties 51.</w:t>
      </w:r>
      <w:r w:rsidRPr="00752C15">
        <w:rPr>
          <w:rFonts w:ascii="Times New Roman" w:hAnsi="Times New Roman" w:cs="Times New Roman"/>
        </w:rPr>
        <w:fldChar w:fldCharType="end"/>
      </w:r>
    </w:p>
  </w:footnote>
  <w:footnote w:id="27">
    <w:p w14:paraId="023986DB" w14:textId="4A6E55C0" w:rsidR="003D26E5" w:rsidRPr="00752C15" w:rsidRDefault="003D26E5" w:rsidP="00752C15">
      <w:pPr>
        <w:pStyle w:val="FootnoteText"/>
        <w:jc w:val="both"/>
        <w:rPr>
          <w:rFonts w:ascii="Times New Roman" w:hAnsi="Times New Roman" w:cs="Times New Roman"/>
          <w:lang w:val="en-US"/>
        </w:rPr>
      </w:pPr>
      <w:r w:rsidRPr="00DC52BD">
        <w:rPr>
          <w:rStyle w:val="FootnoteReference"/>
        </w:rPr>
        <w:footnoteRef/>
      </w:r>
      <w:r w:rsidRPr="00752C15">
        <w:rPr>
          <w:rFonts w:ascii="Times New Roman" w:hAnsi="Times New Roman" w:cs="Times New Roman"/>
        </w:rPr>
        <w:t xml:space="preserve"> </w:t>
      </w:r>
      <w:r w:rsidRPr="00752C15">
        <w:rPr>
          <w:rFonts w:ascii="Times New Roman" w:hAnsi="Times New Roman" w:cs="Times New Roman"/>
        </w:rPr>
        <w:fldChar w:fldCharType="begin"/>
      </w:r>
      <w:r w:rsidR="003F255E" w:rsidRPr="00752C15">
        <w:rPr>
          <w:rFonts w:ascii="Times New Roman" w:hAnsi="Times New Roman" w:cs="Times New Roman"/>
        </w:rPr>
        <w:instrText xml:space="preserve"> ADDIN ZOTERO_ITEM CSL_CITATION {"citationID":"m7yxkwAV","properties":{"formattedCitation":"Jose Atiles and David Whyte, \\uc0\\u8216{}Reproducing Crises: Understanding the Role of Law in the COVID-19 Global Pandemic\\uc0\\u8217{} (2023) 45 Law &amp; Policy 238, 248\\uc0\\u8211{}249.","plainCitation":"Jose Atiles and David Whyte, ‘Reproducing Crises: Understanding the Role of Law in the COVID-19 Global Pandemic’ (2023) 45 Law &amp; Policy 238, 248–249.","noteIndex":26},"citationItems":[{"id":10765,"uris":["http://zotero.org/users/2073125/items/3IHL7ECX"],"itemData":{"id":10765,"type":"article-journal","abstract":"Governmental responses to the COVID-19 global pandemic have generated numerous constitutionals, policy, legal, and political-economic debates. Scholarly engagements with the sociolegal and policy consequences of the COVID-19 pandemic have been dominated by discussion on the role of emergency powers, the suspension of individual civil liberties, the suspension of economic rules in order to guarantee economic survival, and social regulation of public spaces and of workplaces. This paper aims to explore how a critical sociolegal scholarship can contribute to a more sophisticated understanding of the role of law in creating the unequal conditions that propitiated the COVID-19 pandemic and that might enable further crises. This introduction offers a roadmap for theorizing the limits of law, the operationalization of emergency powers and the different policies implemented by global south and north countries in response to the pandemic. This introduction is structured as follow: (1) provides a general overview of the law and society tradition and its engagement with the COVID-19 pandemic; (2) engages with three key consequences of the pandemic, labor, and the lockdown; colonial implications; and the limits of law; (3) introduces the papers in this special issue; (4) sketches a proposal for the critical sociolegal scholarship of law and crises.","container-title":"Law &amp; Policy","DOI":"10.1111/lapo.12214","ISSN":"1467-9930","issue":"3","language":"en","note":"_eprint: https://onlinelibrary.wiley.com/doi/pdf/10.1111/lapo.12214","page":"238-252","source":"Wiley Online Library","title":"Reproducing crises: Understanding the role of law in the COVID-19 global pandemic","title-short":"Reproducing crises","volume":"45","author":[{"family":"Atiles","given":"Jose"},{"family":"Whyte","given":"David"}],"issued":{"date-parts":[["2023"]]}},"locator":"248-249","label":"page"}],"schema":"https://github.com/citation-style-language/schema/raw/master/csl-citation.json"} </w:instrText>
      </w:r>
      <w:r w:rsidRPr="00752C15">
        <w:rPr>
          <w:rFonts w:ascii="Times New Roman" w:hAnsi="Times New Roman" w:cs="Times New Roman"/>
        </w:rPr>
        <w:fldChar w:fldCharType="separate"/>
      </w:r>
      <w:r w:rsidR="00BC4400" w:rsidRPr="00752C15">
        <w:rPr>
          <w:rFonts w:ascii="Times New Roman" w:hAnsi="Times New Roman" w:cs="Times New Roman"/>
        </w:rPr>
        <w:t>Jose Atiles and David Whyte, ‘Reproducing Crises: Understanding the Role of Law in the COVID-19 Global Pandemic’ (2023) 45 Law &amp; Policy 238, 248–249.</w:t>
      </w:r>
      <w:r w:rsidRPr="00752C15">
        <w:rPr>
          <w:rFonts w:ascii="Times New Roman" w:hAnsi="Times New Roman" w:cs="Times New Roman"/>
        </w:rPr>
        <w:fldChar w:fldCharType="end"/>
      </w:r>
    </w:p>
  </w:footnote>
  <w:footnote w:id="28">
    <w:p w14:paraId="18F2B8C1" w14:textId="46CCC547" w:rsidR="00246AC2" w:rsidRPr="00752C15" w:rsidRDefault="00246AC2" w:rsidP="00752C15">
      <w:pPr>
        <w:pStyle w:val="FootnoteText"/>
        <w:jc w:val="both"/>
        <w:rPr>
          <w:rFonts w:ascii="Times New Roman" w:hAnsi="Times New Roman" w:cs="Times New Roman"/>
        </w:rPr>
      </w:pPr>
      <w:r w:rsidRPr="00DC52BD">
        <w:rPr>
          <w:rStyle w:val="FootnoteReference"/>
        </w:rPr>
        <w:footnoteRef/>
      </w:r>
      <w:r w:rsidRPr="00752C15">
        <w:rPr>
          <w:rFonts w:ascii="Times New Roman" w:hAnsi="Times New Roman" w:cs="Times New Roman"/>
        </w:rPr>
        <w:t xml:space="preserve"> Two </w:t>
      </w:r>
      <w:r w:rsidR="005427A1" w:rsidRPr="00752C15">
        <w:rPr>
          <w:rFonts w:ascii="Times New Roman" w:hAnsi="Times New Roman" w:cs="Times New Roman"/>
        </w:rPr>
        <w:t xml:space="preserve">others </w:t>
      </w:r>
      <w:r w:rsidR="00F65760" w:rsidRPr="00752C15">
        <w:rPr>
          <w:rFonts w:ascii="Times New Roman" w:hAnsi="Times New Roman" w:cs="Times New Roman"/>
        </w:rPr>
        <w:t>not</w:t>
      </w:r>
      <w:r w:rsidRPr="00752C15">
        <w:rPr>
          <w:rFonts w:ascii="Times New Roman" w:hAnsi="Times New Roman" w:cs="Times New Roman"/>
        </w:rPr>
        <w:t xml:space="preserve"> addressed here pertain to ‘underreach’ and ‘overreach’ by actors </w:t>
      </w:r>
      <w:r w:rsidR="00D6396D" w:rsidRPr="00752C15">
        <w:rPr>
          <w:rFonts w:ascii="Times New Roman" w:hAnsi="Times New Roman" w:cs="Times New Roman"/>
        </w:rPr>
        <w:t>other</w:t>
      </w:r>
      <w:r w:rsidRPr="00752C15">
        <w:rPr>
          <w:rFonts w:ascii="Times New Roman" w:hAnsi="Times New Roman" w:cs="Times New Roman"/>
        </w:rPr>
        <w:t xml:space="preserve"> than executives, </w:t>
      </w:r>
      <w:r w:rsidR="002A2F18" w:rsidRPr="00752C15">
        <w:rPr>
          <w:rFonts w:ascii="Times New Roman" w:hAnsi="Times New Roman" w:cs="Times New Roman"/>
        </w:rPr>
        <w:t>and</w:t>
      </w:r>
      <w:r w:rsidRPr="00752C15">
        <w:rPr>
          <w:rFonts w:ascii="Times New Roman" w:hAnsi="Times New Roman" w:cs="Times New Roman"/>
        </w:rPr>
        <w:t xml:space="preserve"> the distinction between negative and positive rights. On the latter, </w:t>
      </w:r>
      <w:proofErr w:type="spellStart"/>
      <w:r w:rsidR="005427A1" w:rsidRPr="00752C15">
        <w:rPr>
          <w:rFonts w:ascii="Times New Roman" w:hAnsi="Times New Roman" w:cs="Times New Roman"/>
        </w:rPr>
        <w:t>Pozen</w:t>
      </w:r>
      <w:proofErr w:type="spellEnd"/>
      <w:r w:rsidR="005427A1" w:rsidRPr="00752C15">
        <w:rPr>
          <w:rFonts w:ascii="Times New Roman" w:hAnsi="Times New Roman" w:cs="Times New Roman"/>
        </w:rPr>
        <w:t xml:space="preserve"> and </w:t>
      </w:r>
      <w:proofErr w:type="spellStart"/>
      <w:r w:rsidR="005427A1" w:rsidRPr="00752C15">
        <w:rPr>
          <w:rFonts w:ascii="Times New Roman" w:hAnsi="Times New Roman" w:cs="Times New Roman"/>
        </w:rPr>
        <w:t>Scheppele</w:t>
      </w:r>
      <w:proofErr w:type="spellEnd"/>
      <w:r w:rsidR="005427A1" w:rsidRPr="00752C15">
        <w:rPr>
          <w:rFonts w:ascii="Times New Roman" w:hAnsi="Times New Roman" w:cs="Times New Roman"/>
        </w:rPr>
        <w:t xml:space="preserve"> </w:t>
      </w:r>
      <w:r w:rsidRPr="00752C15">
        <w:rPr>
          <w:rFonts w:ascii="Times New Roman" w:hAnsi="Times New Roman" w:cs="Times New Roman"/>
        </w:rPr>
        <w:t xml:space="preserve">claim that underreach infringes upon positive rights, while overreach violates negative rights. </w:t>
      </w:r>
      <w:r w:rsidR="001534B4" w:rsidRPr="00752C15">
        <w:rPr>
          <w:rFonts w:ascii="Times New Roman" w:hAnsi="Times New Roman" w:cs="Times New Roman"/>
        </w:rPr>
        <w:fldChar w:fldCharType="begin"/>
      </w:r>
      <w:r w:rsidR="001534B4" w:rsidRPr="00752C15">
        <w:rPr>
          <w:rFonts w:ascii="Times New Roman" w:hAnsi="Times New Roman" w:cs="Times New Roman"/>
        </w:rPr>
        <w:instrText xml:space="preserve"> ADDIN ZOTERO_ITEM CSL_CITATION {"citationID":"MtIKgGl8","properties":{"formattedCitation":"Pozen and Scheppele (n 19) 614.","plainCitation":"Pozen and Scheppele (n 19) 614.","noteIndex":27},"citationItems":[{"id":102,"uris":["http://zotero.org/users/2073125/items/5PYLQAV8"],"itemData":{"id":102,"type":"article-journal","abstract":"Legal scholars are familiar with the problem of executive overreach, especially in emergencies. But sometimes, instead of being too audacious or extreme, a national executive's attempts to address a true threat prove far too limited and insubstantial. In this Essay, we seek to define and clarify the phenomenon of executive underreach, with special reference to the COVID-19 crisis; to outline ways in which such underreach may compromise constitutional governance and the international legal order; and to suggest a partial remedy.","container-title":"American Journal of International Law","DOI":"10.1017/ajil.2020.59","ISSN":"0002-9300, 2161-7953","issue":"4","language":"en","note":"publisher: Cambridge University Press","page":"608-617","source":"Cambridge University Press","title":"Executive Underreach, in Pandemics and Otherwise","volume":"114","author":[{"family":"Pozen","given":"David E."},{"family":"Scheppele","given":"Kim Lane"}],"issued":{"date-parts":[["2020",10]]}},"locator":"614","label":"page"}],"schema":"https://github.com/citation-style-language/schema/raw/master/csl-citation.json"} </w:instrText>
      </w:r>
      <w:r w:rsidR="001534B4" w:rsidRPr="00752C15">
        <w:rPr>
          <w:rFonts w:ascii="Times New Roman" w:hAnsi="Times New Roman" w:cs="Times New Roman"/>
        </w:rPr>
        <w:fldChar w:fldCharType="separate"/>
      </w:r>
      <w:r w:rsidR="001534B4" w:rsidRPr="00752C15">
        <w:rPr>
          <w:rFonts w:ascii="Times New Roman" w:hAnsi="Times New Roman" w:cs="Times New Roman"/>
        </w:rPr>
        <w:t>Pozen and Scheppele (n 19) 614.</w:t>
      </w:r>
      <w:r w:rsidR="001534B4" w:rsidRPr="00752C15">
        <w:rPr>
          <w:rFonts w:ascii="Times New Roman" w:hAnsi="Times New Roman" w:cs="Times New Roman"/>
        </w:rPr>
        <w:fldChar w:fldCharType="end"/>
      </w:r>
      <w:r w:rsidR="0013547F" w:rsidRPr="00752C15">
        <w:rPr>
          <w:rFonts w:ascii="Times New Roman" w:hAnsi="Times New Roman" w:cs="Times New Roman"/>
        </w:rPr>
        <w:t xml:space="preserve"> </w:t>
      </w:r>
      <w:r w:rsidRPr="00752C15">
        <w:rPr>
          <w:rFonts w:ascii="Times New Roman" w:hAnsi="Times New Roman" w:cs="Times New Roman"/>
        </w:rPr>
        <w:t xml:space="preserve">However, overreach might also violate positive rights, for example, access to social care, education or healthcare caused by extensive restrictions on civil and political rights.  </w:t>
      </w:r>
    </w:p>
  </w:footnote>
  <w:footnote w:id="29">
    <w:p w14:paraId="21334B85" w14:textId="6EB29862" w:rsidR="002B76D3" w:rsidRPr="00752C15" w:rsidRDefault="002B76D3" w:rsidP="00752C15">
      <w:pPr>
        <w:pStyle w:val="FootnoteText"/>
        <w:jc w:val="both"/>
        <w:rPr>
          <w:rFonts w:ascii="Times New Roman" w:hAnsi="Times New Roman" w:cs="Times New Roman"/>
        </w:rPr>
      </w:pPr>
      <w:r w:rsidRPr="00DC52BD">
        <w:rPr>
          <w:rStyle w:val="FootnoteReference"/>
        </w:rPr>
        <w:footnoteRef/>
      </w:r>
      <w:r w:rsidRPr="00752C15">
        <w:rPr>
          <w:rFonts w:ascii="Times New Roman" w:hAnsi="Times New Roman" w:cs="Times New Roman"/>
        </w:rPr>
        <w:t xml:space="preserve"> ‘[E]</w:t>
      </w:r>
      <w:proofErr w:type="spellStart"/>
      <w:r w:rsidRPr="00752C15">
        <w:rPr>
          <w:rFonts w:ascii="Times New Roman" w:hAnsi="Times New Roman" w:cs="Times New Roman"/>
        </w:rPr>
        <w:t>xecutive</w:t>
      </w:r>
      <w:proofErr w:type="spellEnd"/>
      <w:r w:rsidRPr="00752C15">
        <w:rPr>
          <w:rFonts w:ascii="Times New Roman" w:hAnsi="Times New Roman" w:cs="Times New Roman"/>
        </w:rPr>
        <w:t xml:space="preserve"> responses to COVID-19 do not reflect a clear pattern of either overreach or underreach in the aggregate’.</w:t>
      </w:r>
      <w:r w:rsidR="008B2BC4" w:rsidRPr="00752C15">
        <w:rPr>
          <w:rFonts w:ascii="Times New Roman" w:hAnsi="Times New Roman" w:cs="Times New Roman"/>
        </w:rPr>
        <w:t xml:space="preserve"> </w:t>
      </w:r>
      <w:r w:rsidR="008B2BC4" w:rsidRPr="00752C15">
        <w:rPr>
          <w:rFonts w:ascii="Times New Roman" w:hAnsi="Times New Roman" w:cs="Times New Roman"/>
        </w:rPr>
        <w:fldChar w:fldCharType="begin"/>
      </w:r>
      <w:r w:rsidR="001534B4" w:rsidRPr="00752C15">
        <w:rPr>
          <w:rFonts w:ascii="Times New Roman" w:hAnsi="Times New Roman" w:cs="Times New Roman"/>
        </w:rPr>
        <w:instrText xml:space="preserve"> ADDIN ZOTERO_ITEM CSL_CITATION {"citationID":"0Koqj4Fj","properties":{"formattedCitation":"ibid 611.","plainCitation":"ibid 611.","noteIndex":28},"citationItems":[{"id":102,"uris":["http://zotero.org/users/2073125/items/5PYLQAV8"],"itemData":{"id":102,"type":"article-journal","abstract":"Legal scholars are familiar with the problem of executive overreach, especially in emergencies. But sometimes, instead of being too audacious or extreme, a national executive's attempts to address a true threat prove far too limited and insubstantial. In this Essay, we seek to define and clarify the phenomenon of executive underreach, with special reference to the COVID-19 crisis; to outline ways in which such underreach may compromise constitutional governance and the international legal order; and to suggest a partial remedy.","container-title":"American Journal of International Law","DOI":"10.1017/ajil.2020.59","ISSN":"0002-9300, 2161-7953","issue":"4","language":"en","note":"publisher: Cambridge University Press","page":"608-617","source":"Cambridge University Press","title":"Executive Underreach, in Pandemics and Otherwise","volume":"114","author":[{"family":"Pozen","given":"David E."},{"family":"Scheppele","given":"Kim Lane"}],"issued":{"date-parts":[["2020",10]]}},"locator":"611","label":"page"}],"schema":"https://github.com/citation-style-language/schema/raw/master/csl-citation.json"} </w:instrText>
      </w:r>
      <w:r w:rsidR="008B2BC4" w:rsidRPr="00752C15">
        <w:rPr>
          <w:rFonts w:ascii="Times New Roman" w:hAnsi="Times New Roman" w:cs="Times New Roman"/>
        </w:rPr>
        <w:fldChar w:fldCharType="separate"/>
      </w:r>
      <w:r w:rsidR="001534B4" w:rsidRPr="00752C15">
        <w:rPr>
          <w:rFonts w:ascii="Times New Roman" w:hAnsi="Times New Roman" w:cs="Times New Roman"/>
        </w:rPr>
        <w:t>ibid 611.</w:t>
      </w:r>
      <w:r w:rsidR="008B2BC4" w:rsidRPr="00752C15">
        <w:rPr>
          <w:rFonts w:ascii="Times New Roman" w:hAnsi="Times New Roman" w:cs="Times New Roman"/>
        </w:rPr>
        <w:fldChar w:fldCharType="end"/>
      </w:r>
      <w:r w:rsidRPr="00752C15">
        <w:rPr>
          <w:rFonts w:ascii="Times New Roman" w:hAnsi="Times New Roman" w:cs="Times New Roman"/>
        </w:rPr>
        <w:t xml:space="preserve"> </w:t>
      </w:r>
    </w:p>
  </w:footnote>
  <w:footnote w:id="30">
    <w:p w14:paraId="006AD736" w14:textId="368A682C" w:rsidR="00C3082E" w:rsidRPr="00752C15" w:rsidRDefault="00C3082E" w:rsidP="00752C15">
      <w:pPr>
        <w:pStyle w:val="FootnoteText"/>
        <w:jc w:val="both"/>
        <w:rPr>
          <w:rFonts w:ascii="Times New Roman" w:hAnsi="Times New Roman" w:cs="Times New Roman"/>
          <w:lang w:val="sk-SK"/>
        </w:rPr>
      </w:pPr>
      <w:r w:rsidRPr="00DC52BD">
        <w:rPr>
          <w:rStyle w:val="FootnoteReference"/>
        </w:rPr>
        <w:footnoteRef/>
      </w:r>
      <w:r w:rsidRPr="00752C15">
        <w:rPr>
          <w:rFonts w:ascii="Times New Roman" w:hAnsi="Times New Roman" w:cs="Times New Roman"/>
        </w:rPr>
        <w:t xml:space="preserve"> </w:t>
      </w:r>
      <w:r w:rsidRPr="00752C15">
        <w:rPr>
          <w:rFonts w:ascii="Times New Roman" w:hAnsi="Times New Roman" w:cs="Times New Roman"/>
        </w:rPr>
        <w:fldChar w:fldCharType="begin"/>
      </w:r>
      <w:r w:rsidR="003F255E" w:rsidRPr="00752C15">
        <w:rPr>
          <w:rFonts w:ascii="Times New Roman" w:hAnsi="Times New Roman" w:cs="Times New Roman"/>
        </w:rPr>
        <w:instrText xml:space="preserve"> ADDIN ZOTERO_ITEM CSL_CITATION {"citationID":"vst4NRBi","properties":{"formattedCitation":"Cf. Vicki C Jackson and Yasmin Dawood (eds), {\\i{}Constitutionalism and a Right to Effective Government?} (CUP 2022).","plainCitation":"Cf. Vicki C Jackson and Yasmin Dawood (eds), Constitutionalism and a Right to Effective Government? (CUP 2022).","noteIndex":29},"citationItems":[{"id":9815,"uris":["http://zotero.org/users/2073125/items/UVPQ4IE3"],"itemData":{"id":9815,"type":"book","abstract":"Nations around the world are facing various crises of ineffective government. Basic governmental functions—protecting rights, preventing violence, and promoting material well-being—are compromised, leading to declines in general welfare, in the enjoyment of rights, and even in democracy itself. This innovative collection, featuring analyses by leaders in the fields of constitutional law and politics, highlights the essential role of effective government in sustaining democratic constitutionalism. The book explores “effective government” as a right, principle, duty, and interest, situating questions of governance in debates about negative and positive constitutionalism. In addition to providing new conceptual approaches to the connections between rights and governance, the volume also provides novel insights into government institutions, including courts, legislatures, executives, and administrative bodies, as well as the media and political parties. This is an essential volume for anyone interested in constitutionalism, comparative law, governance, democracy, the rule of law, and rights.","event-place":"Cambridge","ISBN":"978-1-00-915853-4","note":"DOI: 10.1017/9781009158541","publisher":"CUP","publisher-place":"Cambridge","source":"Cambridge University Press","title":"Constitutionalism and a Right to Effective Government?","editor":[{"family":"Jackson","given":"Vicki C."},{"family":"Dawood","given":"Yasmin"}],"issued":{"date-parts":[["2022"]]}},"label":"page","prefix":"Cf. "}],"schema":"https://github.com/citation-style-language/schema/raw/master/csl-citation.json"} </w:instrText>
      </w:r>
      <w:r w:rsidRPr="00752C15">
        <w:rPr>
          <w:rFonts w:ascii="Times New Roman" w:hAnsi="Times New Roman" w:cs="Times New Roman"/>
        </w:rPr>
        <w:fldChar w:fldCharType="separate"/>
      </w:r>
      <w:r w:rsidR="00726308" w:rsidRPr="00752C15">
        <w:rPr>
          <w:rFonts w:ascii="Times New Roman" w:hAnsi="Times New Roman" w:cs="Times New Roman"/>
        </w:rPr>
        <w:t xml:space="preserve">Cf. Vicki C Jackson and Yasmin Dawood (eds), </w:t>
      </w:r>
      <w:r w:rsidR="00726308" w:rsidRPr="00752C15">
        <w:rPr>
          <w:rFonts w:ascii="Times New Roman" w:hAnsi="Times New Roman" w:cs="Times New Roman"/>
          <w:i/>
          <w:iCs/>
        </w:rPr>
        <w:t>Constitutionalism and a Right to Effective Government?</w:t>
      </w:r>
      <w:r w:rsidR="00726308" w:rsidRPr="00752C15">
        <w:rPr>
          <w:rFonts w:ascii="Times New Roman" w:hAnsi="Times New Roman" w:cs="Times New Roman"/>
        </w:rPr>
        <w:t xml:space="preserve"> (CUP 2022).</w:t>
      </w:r>
      <w:r w:rsidRPr="00752C15">
        <w:rPr>
          <w:rFonts w:ascii="Times New Roman" w:hAnsi="Times New Roman" w:cs="Times New Roman"/>
        </w:rPr>
        <w:fldChar w:fldCharType="end"/>
      </w:r>
    </w:p>
  </w:footnote>
  <w:footnote w:id="31">
    <w:p w14:paraId="0AB66B9F" w14:textId="6D2326C8" w:rsidR="00275954" w:rsidRPr="00752C15" w:rsidRDefault="00275954" w:rsidP="00752C15">
      <w:pPr>
        <w:pStyle w:val="FootnoteText"/>
        <w:jc w:val="both"/>
        <w:rPr>
          <w:rFonts w:ascii="Times New Roman" w:hAnsi="Times New Roman" w:cs="Times New Roman"/>
          <w:lang w:val="en-IN"/>
        </w:rPr>
      </w:pPr>
      <w:r w:rsidRPr="00DC52BD">
        <w:rPr>
          <w:rStyle w:val="FootnoteReference"/>
        </w:rPr>
        <w:footnoteRef/>
      </w:r>
      <w:r w:rsidRPr="00752C15">
        <w:rPr>
          <w:rFonts w:ascii="Times New Roman" w:hAnsi="Times New Roman" w:cs="Times New Roman"/>
        </w:rPr>
        <w:t xml:space="preserve"> </w:t>
      </w:r>
      <w:r w:rsidRPr="00752C15">
        <w:rPr>
          <w:rFonts w:ascii="Times New Roman" w:hAnsi="Times New Roman" w:cs="Times New Roman"/>
        </w:rPr>
        <w:fldChar w:fldCharType="begin"/>
      </w:r>
      <w:r w:rsidR="003F255E" w:rsidRPr="00752C15">
        <w:rPr>
          <w:rFonts w:ascii="Times New Roman" w:hAnsi="Times New Roman" w:cs="Times New Roman"/>
        </w:rPr>
        <w:instrText xml:space="preserve"> ADDIN ZOTERO_ITEM CSL_CITATION {"citationID":"n9cU6QwV","properties":{"formattedCitation":"Michael Ignatieff, \\uc0\\u8216{}The Reckoning: Evaluating Democratic Leadership\\uc0\\u8217{} in Miguel Poiares Maduro and Paul W Kahn (eds), {\\i{}Democracy in Times of Pandemic: Different Futures Imagined} (CUP 2020) 90.","plainCitation":"Michael Ignatieff, ‘The Reckoning: Evaluating Democratic Leadership’ in Miguel Poiares Maduro and Paul W Kahn (eds), Democracy in Times of Pandemic: Different Futures Imagined (CUP 2020) 90.","noteIndex":30},"citationItems":[{"id":4608,"uris":["http://zotero.org/users/2073125/items/G6YCZRFI"],"itemData":{"id":4608,"type":"chapter","abstract":"The COVID-19 pandemic has presented an important case study, on a global scale, of how democracy works - and fails to work - today. From leadership to citizenship, from due process to checks and balances, from globalization to misinformation, from solidarity within and across borders to the role of expertise, key democratic concepts both old and new are now being put to the test. The future of democracy around the world is at issue as today's governments manage their responses to the pandemic. Bringing together some of today's most creative thinkers, these essays offer a variety of inquiries into democracy during the global pandemic with a view to imagining post-crisis political conditions. Representing different regions and disciplines, including law, politics, philosophy, religion, and sociology, eighteen voices offer different outlooks - optimistic and pessimistic - on the future.","container-title":"Democracy in Times of Pandemic: Different Futures Imagined","event-place":"Cambridge","ISBN":"978-1-108-84536-6","language":"English","page":"89-103","publisher":"CUP","publisher-place":"Cambridge","source":"Amazon","title":"The Reckoning: Evaluating Democratic Leadership","editor":[{"family":"Maduro","given":"Miguel Poiares"},{"family":"Kahn","given":"Paul W."}],"author":[{"family":"Ignatieff","given":"Michael"}],"issued":{"date-parts":[["2020",11,12]]}},"locator":"90"}],"schema":"https://github.com/citation-style-language/schema/raw/master/csl-citation.json"} </w:instrText>
      </w:r>
      <w:r w:rsidRPr="00752C15">
        <w:rPr>
          <w:rFonts w:ascii="Times New Roman" w:hAnsi="Times New Roman" w:cs="Times New Roman"/>
        </w:rPr>
        <w:fldChar w:fldCharType="separate"/>
      </w:r>
      <w:r w:rsidR="002314D4" w:rsidRPr="00752C15">
        <w:rPr>
          <w:rFonts w:ascii="Times New Roman" w:hAnsi="Times New Roman" w:cs="Times New Roman"/>
        </w:rPr>
        <w:t xml:space="preserve">Michael Ignatieff, ‘The Reckoning: Evaluating Democratic Leadership’ in Miguel Poiares Maduro and Paul W Kahn (eds), </w:t>
      </w:r>
      <w:r w:rsidR="002314D4" w:rsidRPr="00752C15">
        <w:rPr>
          <w:rFonts w:ascii="Times New Roman" w:hAnsi="Times New Roman" w:cs="Times New Roman"/>
          <w:i/>
          <w:iCs/>
        </w:rPr>
        <w:t>Democracy in Times of Pandemic: Different Futures Imagined</w:t>
      </w:r>
      <w:r w:rsidR="002314D4" w:rsidRPr="00752C15">
        <w:rPr>
          <w:rFonts w:ascii="Times New Roman" w:hAnsi="Times New Roman" w:cs="Times New Roman"/>
        </w:rPr>
        <w:t xml:space="preserve"> (CUP 2020) 90.</w:t>
      </w:r>
      <w:r w:rsidRPr="00752C15">
        <w:rPr>
          <w:rFonts w:ascii="Times New Roman" w:hAnsi="Times New Roman" w:cs="Times New Roman"/>
        </w:rPr>
        <w:fldChar w:fldCharType="end"/>
      </w:r>
    </w:p>
  </w:footnote>
  <w:footnote w:id="32">
    <w:p w14:paraId="10A159AE" w14:textId="02A8A397" w:rsidR="006B60DB" w:rsidRPr="00752C15" w:rsidRDefault="006B60DB" w:rsidP="00752C15">
      <w:pPr>
        <w:pStyle w:val="FootnoteText"/>
        <w:jc w:val="both"/>
        <w:rPr>
          <w:rFonts w:ascii="Times New Roman" w:hAnsi="Times New Roman" w:cs="Times New Roman"/>
          <w:lang w:val="en-US"/>
        </w:rPr>
      </w:pPr>
      <w:r w:rsidRPr="00DC52BD">
        <w:rPr>
          <w:rStyle w:val="FootnoteReference"/>
        </w:rPr>
        <w:footnoteRef/>
      </w:r>
      <w:r w:rsidRPr="00752C15">
        <w:rPr>
          <w:rFonts w:ascii="Times New Roman" w:hAnsi="Times New Roman" w:cs="Times New Roman"/>
        </w:rPr>
        <w:t xml:space="preserve"> </w:t>
      </w:r>
      <w:r w:rsidRPr="00752C15">
        <w:rPr>
          <w:rFonts w:ascii="Times New Roman" w:hAnsi="Times New Roman" w:cs="Times New Roman"/>
        </w:rPr>
        <w:fldChar w:fldCharType="begin"/>
      </w:r>
      <w:r w:rsidR="003F255E" w:rsidRPr="00752C15">
        <w:rPr>
          <w:rFonts w:ascii="Times New Roman" w:hAnsi="Times New Roman" w:cs="Times New Roman"/>
        </w:rPr>
        <w:instrText xml:space="preserve"> ADDIN ZOTERO_ITEM CSL_CITATION {"citationID":"EqkHO5c9","properties":{"formattedCitation":"Joelle Grogan and Alice Donald, \\uc0\\u8216{}Lessons for a \\uc0\\u8220{}Post-Pandemic\\uc0\\u8221{} Future\\uc0\\u8217{} in Joelle Grogan and Alice Donald (eds), {\\i{}Routledge Handbook of Law and the COVID-19 Pandemic} (Routledge 2022) 473.","plainCitation":"Joelle Grogan and Alice Donald, ‘Lessons for a “Post-Pandemic” Future’ in Joelle Grogan and Alice Donald (eds), Routledge Handbook of Law and the COVID-19 Pandemic (Routledge 2022) 473.","noteIndex":31},"citationItems":[{"id":10845,"uris":["http://zotero.org/users/2073125/items/Q6BLYVKH"],"itemData":{"id":10845,"type":"chapter","container-title":"Routledge Handbook of Law and the COVID-19 Pandemic","event-place":"London","ISBN":"978-1-03-207885-4","language":"English","page":"473-484","publisher":"Routledge","publisher-place":"London","source":"Amazon","title":"Lessons for a 'Post-Pandemic' Future","editor":[{"family":"Grogan","given":"Joelle"},{"family":"Donald","given":"Alice"}],"author":[{"family":"Grogan","given":"Joelle"},{"family":"Donald","given":"Alice"}],"issued":{"date-parts":[["2022",5,17]]}},"locator":"473","label":"page"}],"schema":"https://github.com/citation-style-language/schema/raw/master/csl-citation.json"} </w:instrText>
      </w:r>
      <w:r w:rsidRPr="00752C15">
        <w:rPr>
          <w:rFonts w:ascii="Times New Roman" w:hAnsi="Times New Roman" w:cs="Times New Roman"/>
        </w:rPr>
        <w:fldChar w:fldCharType="separate"/>
      </w:r>
      <w:r w:rsidRPr="00752C15">
        <w:rPr>
          <w:rFonts w:ascii="Times New Roman" w:hAnsi="Times New Roman" w:cs="Times New Roman"/>
        </w:rPr>
        <w:t xml:space="preserve">Joelle Grogan and Alice Donald, ‘Lessons for a “Post-Pandemic” Future’ in Joelle Grogan and Alice Donald (eds), </w:t>
      </w:r>
      <w:r w:rsidRPr="00752C15">
        <w:rPr>
          <w:rFonts w:ascii="Times New Roman" w:hAnsi="Times New Roman" w:cs="Times New Roman"/>
          <w:i/>
          <w:iCs/>
        </w:rPr>
        <w:t>Routledge Handbook of Law and the COVID-19 Pandemic</w:t>
      </w:r>
      <w:r w:rsidRPr="00752C15">
        <w:rPr>
          <w:rFonts w:ascii="Times New Roman" w:hAnsi="Times New Roman" w:cs="Times New Roman"/>
        </w:rPr>
        <w:t xml:space="preserve"> (Routledge 2022) 473.</w:t>
      </w:r>
      <w:r w:rsidRPr="00752C15">
        <w:rPr>
          <w:rFonts w:ascii="Times New Roman" w:hAnsi="Times New Roman" w:cs="Times New Roman"/>
        </w:rPr>
        <w:fldChar w:fldCharType="end"/>
      </w:r>
    </w:p>
  </w:footnote>
  <w:footnote w:id="33">
    <w:p w14:paraId="059EF7E5" w14:textId="7A002960" w:rsidR="004A22AC" w:rsidRPr="00752C15" w:rsidRDefault="004A22AC" w:rsidP="00752C15">
      <w:pPr>
        <w:pStyle w:val="FootnoteText"/>
        <w:jc w:val="both"/>
        <w:rPr>
          <w:rFonts w:ascii="Times New Roman" w:hAnsi="Times New Roman" w:cs="Times New Roman"/>
          <w:lang w:val="sk-SK"/>
        </w:rPr>
      </w:pPr>
      <w:r w:rsidRPr="00DC52BD">
        <w:rPr>
          <w:rStyle w:val="FootnoteReference"/>
        </w:rPr>
        <w:footnoteRef/>
      </w:r>
      <w:r w:rsidRPr="00752C15">
        <w:rPr>
          <w:rFonts w:ascii="Times New Roman" w:hAnsi="Times New Roman" w:cs="Times New Roman"/>
        </w:rPr>
        <w:t xml:space="preserve"> </w:t>
      </w:r>
      <w:r w:rsidRPr="00752C15">
        <w:rPr>
          <w:rFonts w:ascii="Times New Roman" w:hAnsi="Times New Roman" w:cs="Times New Roman"/>
        </w:rPr>
        <w:fldChar w:fldCharType="begin"/>
      </w:r>
      <w:r w:rsidR="003F255E" w:rsidRPr="00752C15">
        <w:rPr>
          <w:rFonts w:ascii="Times New Roman" w:hAnsi="Times New Roman" w:cs="Times New Roman"/>
        </w:rPr>
        <w:instrText xml:space="preserve"> ADDIN ZOTERO_ITEM CSL_CITATION {"citationID":"TZPEMVKU","properties":{"formattedCitation":"Heimer and Davis (n 5) 13.","plainCitation":"Heimer and Davis (n 5) 13.","noteIndex":32},"citationItems":[{"id":10755,"uris":["http://zotero.org/users/2073125/items/GLKQ4CAH"],"itemData":{"id":10755,"type":"article-journal","abstract":"Although epidemics are generally understood as lying within the domain of biomedicine, legal and social arrangements play crucial roles in determining whether or not infectious disease outbreaks grow into epidemics and even pandemics. Yet epidemics are challenging terrain for legal regulation. Because epidemics cross political borders and span jurisdictional boundaries, funding for epidemic prevention, preparedness, and response is always inadequate and coordination is difficult. Because epidemics require rapid and nimble responses, governments and international organizations often declare states of emergency, thereby evading some of the usual strictures of law. And because they involve massive uncertainty and rapidly evolving health crises, they require legal actors to work more quickly and with lower standards of proof than is common in law and to intrude on the turf of medical and scientific professionals. Legal contributions to pandemic management could be improved if legal measures such as global treaties and domestic public health law took account of these special features of epidemics.","container-title":"Annual Review of Law and Social Science","DOI":"10.1146/annurev-lawsocsci-050420-113513","issue":"1","note":"_eprint: https://doi.org/10.1146/annurev-lawsocsci-050420-113513","page":"1-26","source":"Annual Reviews","title":"Good Law to Fight Bad Bugs: Legal Responses to Epidemics","title-short":"Good Law to Fight Bad Bugs","volume":"18","author":[{"family":"Heimer","given":"Carol A."},{"family":"Davis","given":"Clay"}],"issued":{"date-parts":[["2022"]]}},"locator":"13","label":"page"}],"schema":"https://github.com/citation-style-language/schema/raw/master/csl-citation.json"} </w:instrText>
      </w:r>
      <w:r w:rsidRPr="00752C15">
        <w:rPr>
          <w:rFonts w:ascii="Times New Roman" w:hAnsi="Times New Roman" w:cs="Times New Roman"/>
        </w:rPr>
        <w:fldChar w:fldCharType="separate"/>
      </w:r>
      <w:r w:rsidR="00DA692E" w:rsidRPr="00752C15">
        <w:rPr>
          <w:rFonts w:ascii="Times New Roman" w:hAnsi="Times New Roman" w:cs="Times New Roman"/>
        </w:rPr>
        <w:t>Heimer and Davis (n 5) 13.</w:t>
      </w:r>
      <w:r w:rsidRPr="00752C15">
        <w:rPr>
          <w:rFonts w:ascii="Times New Roman" w:hAnsi="Times New Roman" w:cs="Times New Roman"/>
        </w:rPr>
        <w:fldChar w:fldCharType="end"/>
      </w:r>
    </w:p>
  </w:footnote>
  <w:footnote w:id="34">
    <w:p w14:paraId="67174FB9" w14:textId="31057397" w:rsidR="0024699A" w:rsidRPr="00752C15" w:rsidRDefault="0024699A" w:rsidP="00752C15">
      <w:pPr>
        <w:pStyle w:val="FootnoteText"/>
        <w:jc w:val="both"/>
        <w:rPr>
          <w:rFonts w:ascii="Times New Roman" w:hAnsi="Times New Roman" w:cs="Times New Roman"/>
          <w:lang w:val="en-IN"/>
        </w:rPr>
      </w:pPr>
      <w:r w:rsidRPr="00DC52BD">
        <w:rPr>
          <w:rStyle w:val="FootnoteReference"/>
        </w:rPr>
        <w:footnoteRef/>
      </w:r>
      <w:r w:rsidRPr="00752C15">
        <w:rPr>
          <w:rFonts w:ascii="Times New Roman" w:hAnsi="Times New Roman" w:cs="Times New Roman"/>
        </w:rPr>
        <w:t xml:space="preserve"> </w:t>
      </w:r>
      <w:r w:rsidRPr="00752C15">
        <w:rPr>
          <w:rFonts w:ascii="Times New Roman" w:hAnsi="Times New Roman" w:cs="Times New Roman"/>
        </w:rPr>
        <w:fldChar w:fldCharType="begin"/>
      </w:r>
      <w:r w:rsidR="003F255E" w:rsidRPr="00752C15">
        <w:rPr>
          <w:rFonts w:ascii="Times New Roman" w:hAnsi="Times New Roman" w:cs="Times New Roman"/>
        </w:rPr>
        <w:instrText xml:space="preserve"> ADDIN ZOTERO_ITEM CSL_CITATION {"citationID":"Xvtw7khJ","properties":{"formattedCitation":"Jan-Werner M\\uc0\\u252{}ller, \\uc0\\u8216{}Populism versus Democracy during a Pandemic: Some Preliminary Considerations\\uc0\\u8217{} in Matthias C Kettemann and Konrad Lachmayer (eds), {\\i{}Pandemocracy in Europe: Power, Parliaments and People in Times of COVID-19} (Hart 2021) 323\\uc0\\u8211{}324.","plainCitation":"Jan-Werner Müller, ‘Populism versus Democracy during a Pandemic: Some Preliminary Considerations’ in Matthias C Kettemann and Konrad Lachmayer (eds), Pandemocracy in Europe: Power, Parliaments and People in Times of COVID-19 (Hart 2021) 323–324.","noteIndex":33},"citationItems":[{"id":4607,"uris":["http://zotero.org/users/2073125/items/6GCS5G8N"],"itemData":{"id":4607,"type":"chapter","abstract":"\"This open access book explains why a democratic reckoning will start when European societies win the fight against COVID-19. Have democracies successfully mastered the challenges of the pandemic? How has the coronavirus impacted democratic principles, processes and values? At the heels of the worst public health crisis in living memory, this book shines an unforgiving light on the side-lining of parliaments, the ruling by governmental decrees and the disenfranchisement of the people in the name of fighting COVID-19. Pandemocracy in Europe situates the dramatic impact of COVID-19, and the fight against the virus, on Europe's democracies. Throughout its 17 contributions the book sets the theoretical stage and answers the democratic questions engaged by health emergencies. Seven national case studies - UK, Germany, Italy, Sweden, Hungary, Switzerland, and France - show, each time with a pronounced focus on a particular element of democracy, how different states reacted to the pandemic. The book also shifts the analytical gaze beyond the nation state towards international settings, looking at the effects on the European Union and considering the impact on populist movements. Bridging disciplines and uniting a stellar cast of scholars on democracy, rule of law and constitutionalism, the book provides contours and nuances to a year of debates in political science, international relations and law on the impact of the virus on democracies. In times of uncertainty, Pandemocracy in Europe provides analysis and answers to the democratic challenges of the coronavirus. The open access edition of this book is available under a CC BY-NC-ND 4.0 licence on www.bloomsburycollections.com\"--","container-title":"Pandemocracy in Europe: Power, Parliaments and People in Times of COVID-19","event-place":"Oxford","ISBN":"978-1-5099-4640-2","language":"en","note":"Google-Books-ID: bJ6xzgEACAAJ","page":"315-328","publisher":"Hart","publisher-place":"Oxford","source":"Google Books","title":"Populism versus Democracy during a Pandemic: Some Preliminary Considerations","editor":[{"family":"Kettemann","given":"Matthias C."},{"family":"Lachmayer","given":"Konrad"}],"author":[{"family":"Müller","given":"Jan-Werner"}],"issued":{"date-parts":[["2021"]]}},"locator":"323-324"}],"schema":"https://github.com/citation-style-language/schema/raw/master/csl-citation.json"} </w:instrText>
      </w:r>
      <w:r w:rsidRPr="00752C15">
        <w:rPr>
          <w:rFonts w:ascii="Times New Roman" w:hAnsi="Times New Roman" w:cs="Times New Roman"/>
        </w:rPr>
        <w:fldChar w:fldCharType="separate"/>
      </w:r>
      <w:r w:rsidR="00BF3BC4" w:rsidRPr="00752C15">
        <w:rPr>
          <w:rFonts w:ascii="Times New Roman" w:hAnsi="Times New Roman" w:cs="Times New Roman"/>
        </w:rPr>
        <w:t xml:space="preserve">Jan-Werner Müller, ‘Populism versus Democracy during a Pandemic: Some Preliminary Considerations’ in Matthias C Kettemann and Konrad Lachmayer (eds), </w:t>
      </w:r>
      <w:r w:rsidR="00BF3BC4" w:rsidRPr="00752C15">
        <w:rPr>
          <w:rFonts w:ascii="Times New Roman" w:hAnsi="Times New Roman" w:cs="Times New Roman"/>
          <w:i/>
          <w:iCs/>
        </w:rPr>
        <w:t>Pandemocracy in Europe: Power, Parliaments and People in Times of COVID-19</w:t>
      </w:r>
      <w:r w:rsidR="00BF3BC4" w:rsidRPr="00752C15">
        <w:rPr>
          <w:rFonts w:ascii="Times New Roman" w:hAnsi="Times New Roman" w:cs="Times New Roman"/>
        </w:rPr>
        <w:t xml:space="preserve"> (Hart 2021) 323–324.</w:t>
      </w:r>
      <w:r w:rsidRPr="00752C15">
        <w:rPr>
          <w:rFonts w:ascii="Times New Roman" w:hAnsi="Times New Roman" w:cs="Times New Roman"/>
        </w:rPr>
        <w:fldChar w:fldCharType="end"/>
      </w:r>
    </w:p>
  </w:footnote>
  <w:footnote w:id="35">
    <w:p w14:paraId="7B6A6CED" w14:textId="57591A0E" w:rsidR="0024699A" w:rsidRPr="00A14EB2" w:rsidRDefault="0024699A" w:rsidP="00752C15">
      <w:pPr>
        <w:pStyle w:val="FootnoteText"/>
        <w:jc w:val="both"/>
        <w:rPr>
          <w:rFonts w:ascii="Times New Roman" w:hAnsi="Times New Roman" w:cs="Times New Roman"/>
          <w:lang w:val="de-DE"/>
        </w:rPr>
      </w:pPr>
      <w:r w:rsidRPr="00DC52BD">
        <w:rPr>
          <w:rStyle w:val="FootnoteReference"/>
        </w:rPr>
        <w:footnoteRef/>
      </w:r>
      <w:r w:rsidRPr="00A14EB2">
        <w:rPr>
          <w:rFonts w:ascii="Times New Roman" w:hAnsi="Times New Roman" w:cs="Times New Roman"/>
          <w:lang w:val="de-DE"/>
        </w:rPr>
        <w:t xml:space="preserve"> </w:t>
      </w:r>
      <w:r w:rsidRPr="00752C15">
        <w:rPr>
          <w:rFonts w:ascii="Times New Roman" w:hAnsi="Times New Roman" w:cs="Times New Roman"/>
        </w:rPr>
        <w:fldChar w:fldCharType="begin"/>
      </w:r>
      <w:r w:rsidR="003F255E" w:rsidRPr="00A14EB2">
        <w:rPr>
          <w:rFonts w:ascii="Times New Roman" w:hAnsi="Times New Roman" w:cs="Times New Roman"/>
          <w:lang w:val="de-DE"/>
        </w:rPr>
        <w:instrText xml:space="preserve"> ADDIN ZOTERO_ITEM CSL_CITATION {"citationID":"kJEjvKAs","properties":{"formattedCitation":"Pozen and Scheppele (n 19) 614\\uc0\\u8211{}615.","plainCitation":"Pozen and Scheppele (n 19) 614–615.","noteIndex":34},"citationItems":[{"id":102,"uris":["http://zotero.org/users/2073125/items/5PYLQAV8"],"itemData":{"id":102,"type":"article-journal","abstract":"Legal scholars are familiar with the problem of executive overreach, especially in emergencies. But sometimes, instead of being too audacious or extreme, a national executive's attempts to address a true threat prove far too limited and insubstantial. In this Essay, we seek to define and clarify the phenomenon of executive underreach, with special reference to the COVID-19 crisis; to outline ways in which such underreach may compromise constitutional governance and the international legal order; and to suggest a partial remedy.","container-title":"American Journal of International Law","DOI":"10.1017/ajil.2020.59","ISSN":"0002-9300, 2161-7953","issue":"4","language":"en","note":"publisher: Cambridge University Press","page":"608-617","source":"Cambridge University Press","title":"Executive Underreach, in Pandemics and Otherwise","volume":"114","author":[{"family":"Pozen","given":"David E."},{"family":"Scheppele","given":"Kim Lane"}],"issued":{"date-parts":[["2020",10]]}},"locator":"614-615"}],"schema":"https://github.com/citation-style-language/schema/raw/master/csl-citation.json"} </w:instrText>
      </w:r>
      <w:r w:rsidRPr="00752C15">
        <w:rPr>
          <w:rFonts w:ascii="Times New Roman" w:hAnsi="Times New Roman" w:cs="Times New Roman"/>
        </w:rPr>
        <w:fldChar w:fldCharType="separate"/>
      </w:r>
      <w:r w:rsidR="003F255E" w:rsidRPr="00A14EB2">
        <w:rPr>
          <w:rFonts w:ascii="Times New Roman" w:hAnsi="Times New Roman" w:cs="Times New Roman"/>
          <w:szCs w:val="24"/>
          <w:lang w:val="de-DE"/>
        </w:rPr>
        <w:t>Pozen and Scheppele (n 19) 614–615.</w:t>
      </w:r>
      <w:r w:rsidRPr="00752C15">
        <w:rPr>
          <w:rFonts w:ascii="Times New Roman" w:hAnsi="Times New Roman" w:cs="Times New Roman"/>
        </w:rPr>
        <w:fldChar w:fldCharType="end"/>
      </w:r>
    </w:p>
  </w:footnote>
  <w:footnote w:id="36">
    <w:p w14:paraId="3DCD5284" w14:textId="4489631A" w:rsidR="00E54CF3" w:rsidRPr="00752C15" w:rsidRDefault="00E54CF3" w:rsidP="00752C15">
      <w:pPr>
        <w:pStyle w:val="FootnoteText"/>
        <w:jc w:val="both"/>
        <w:rPr>
          <w:rFonts w:ascii="Times New Roman" w:hAnsi="Times New Roman" w:cs="Times New Roman"/>
          <w:lang w:val="sk-SK"/>
        </w:rPr>
      </w:pPr>
      <w:r w:rsidRPr="00DC52BD">
        <w:rPr>
          <w:rStyle w:val="FootnoteReference"/>
        </w:rPr>
        <w:footnoteRef/>
      </w:r>
      <w:r w:rsidRPr="00A14EB2">
        <w:rPr>
          <w:rFonts w:ascii="Times New Roman" w:hAnsi="Times New Roman" w:cs="Times New Roman"/>
          <w:lang w:val="de-DE"/>
        </w:rPr>
        <w:t xml:space="preserve"> </w:t>
      </w:r>
      <w:r w:rsidRPr="00752C15">
        <w:rPr>
          <w:rFonts w:ascii="Times New Roman" w:hAnsi="Times New Roman" w:cs="Times New Roman"/>
        </w:rPr>
        <w:fldChar w:fldCharType="begin"/>
      </w:r>
      <w:r w:rsidR="003F255E" w:rsidRPr="00A14EB2">
        <w:rPr>
          <w:rFonts w:ascii="Times New Roman" w:hAnsi="Times New Roman" w:cs="Times New Roman"/>
          <w:lang w:val="de-DE"/>
        </w:rPr>
        <w:instrText xml:space="preserve"> ADDIN ZOTERO_ITEM CSL_CITATION {"citationID":"ImRqfSiO","properties":{"formattedCitation":"ibid 615.","plainCitation":"ibid 615.","noteIndex":35},"citationItems":[{"id":102,"uris":["http://zotero.org/users/2073125/items/5PYLQAV8"],"itemData":{"id":102,"type":"article-journal","abstract":"Legal scholars are familiar with the problem of executive overreach, especially in emergencies. But sometimes, instead of being too audacious or extreme, a national executive's attempts to address a true threat prove far too limited and insubstantial. In this Essay, we seek to define and clarify the phenomenon of executive underreach, with special reference to the COVID-19 crisis; to outline ways in which such underreach may compromise constitutional governance and the international legal order; and to suggest a partial remedy.","container-title":"American Journal of International Law","DOI":"10.1017/ajil.2020.59","ISSN":"0002-9300, 2161-7953","issue":"4","language":"en","note":"publisher: Cambridge University Press","page":"608-617","source":"Cambridge University Press","title":"Executive Underreach, in Pandemics and Otherwise","volume":"114","author":[{"family":"Pozen","given":"David E."},{"family":"Scheppele","given":"Kim Lane"}],"issued":{"date-parts":[["2020",10]]}},"locator":"615","label":"page"}],"schema":"https://github.com/citation-style-language/schema/raw/master/csl-citation.json"} </w:instrText>
      </w:r>
      <w:r w:rsidRPr="00752C15">
        <w:rPr>
          <w:rFonts w:ascii="Times New Roman" w:hAnsi="Times New Roman" w:cs="Times New Roman"/>
        </w:rPr>
        <w:fldChar w:fldCharType="separate"/>
      </w:r>
      <w:r w:rsidRPr="00A14EB2">
        <w:rPr>
          <w:rFonts w:ascii="Times New Roman" w:hAnsi="Times New Roman" w:cs="Times New Roman"/>
          <w:lang w:val="de-DE"/>
        </w:rPr>
        <w:t>ibid 615.</w:t>
      </w:r>
      <w:r w:rsidRPr="00752C15">
        <w:rPr>
          <w:rFonts w:ascii="Times New Roman" w:hAnsi="Times New Roman" w:cs="Times New Roman"/>
        </w:rPr>
        <w:fldChar w:fldCharType="end"/>
      </w:r>
    </w:p>
  </w:footnote>
  <w:footnote w:id="37">
    <w:p w14:paraId="7E986B06" w14:textId="1DD2A54B" w:rsidR="00B06B46" w:rsidRPr="00752C15" w:rsidRDefault="00B06B46" w:rsidP="00752C15">
      <w:pPr>
        <w:pStyle w:val="FootnoteText"/>
        <w:jc w:val="both"/>
        <w:rPr>
          <w:rFonts w:ascii="Times New Roman" w:hAnsi="Times New Roman" w:cs="Times New Roman"/>
          <w:lang w:val="en-US"/>
        </w:rPr>
      </w:pPr>
      <w:r w:rsidRPr="00DC52BD">
        <w:rPr>
          <w:rStyle w:val="FootnoteReference"/>
        </w:rPr>
        <w:footnoteRef/>
      </w:r>
      <w:r w:rsidRPr="00752C15">
        <w:rPr>
          <w:rFonts w:ascii="Times New Roman" w:hAnsi="Times New Roman" w:cs="Times New Roman"/>
        </w:rPr>
        <w:t xml:space="preserve"> </w:t>
      </w:r>
      <w:r w:rsidRPr="00752C15">
        <w:rPr>
          <w:rFonts w:ascii="Times New Roman" w:hAnsi="Times New Roman" w:cs="Times New Roman"/>
        </w:rPr>
        <w:fldChar w:fldCharType="begin"/>
      </w:r>
      <w:r w:rsidR="003F255E" w:rsidRPr="00752C15">
        <w:rPr>
          <w:rFonts w:ascii="Times New Roman" w:hAnsi="Times New Roman" w:cs="Times New Roman"/>
        </w:rPr>
        <w:instrText xml:space="preserve"> ADDIN ZOTERO_ITEM CSL_CITATION {"citationID":"ja0oJC37","properties":{"formattedCitation":"Simone Chambers, \\uc0\\u8216{}Theories of Political Justification\\uc0\\u8217{} (2010) 5 Philosophy Compass 893; Moshe Cohen-Eliya and Iddo Porat, \\uc0\\u8216{}Proportionality and the Culture of Justification\\uc0\\u8217{} (2011) 59 The American Journal of Comparative Law 463; David Dyzenhaus, \\uc0\\u8216{}What Is a \\uc0\\u8220{}Democratic Culture of Justification\\uc0\\u8221{}?\\uc0\\u8217{} in Murray Hunt, Hayley Hooper and Paul Yowell (eds), {\\i{}Parliaments and Human Rights: Redressing the Democratic Deficit} (Hart Publishing 2015) 425\\uc0\\u8211{}427; Cheryl Misak, \\uc0\\u8216{}A Culture of Justification: The Pragmatist\\uc0\\u8217{}s Epistemic Argument for Democracy\\uc0\\u8217{} (2008) 5 Episteme 94.","plainCitation":"Simone Chambers, ‘Theories of Political Justification’ (2010) 5 Philosophy Compass 893; Moshe Cohen-Eliya and Iddo Porat, ‘Proportionality and the Culture of Justification’ (2011) 59 The American Journal of Comparative Law 463; David Dyzenhaus, ‘What Is a “Democratic Culture of Justification”?’ in Murray Hunt, Hayley Hooper and Paul Yowell (eds), Parliaments and Human Rights: Redressing the Democratic Deficit (Hart Publishing 2015) 425–427; Cheryl Misak, ‘A Culture of Justification: The Pragmatist’s Epistemic Argument for Democracy’ (2008) 5 Episteme 94.","noteIndex":36},"citationItems":[{"id":11780,"uris":["http://zotero.org/users/2073125/items/9YK96W2I"],"itemData":{"id":11780,"type":"article-journal","abstract":"This essay reviews contemporary theories of public justification. In particular, it argues that conceptions of public justification and public reason have moved significantly beyond Rawls.","container-title":"Philosophy Compass","DOI":"10.1111/j.1747-9991.2010.00344.x","ISSN":"1747-9991","issue":"11","language":"en","license":"© 2010 The Author. Philosophy Compass © 2010 Blackwell Publishing Ltd","note":"_eprint: https://onlinelibrary.wiley.com/doi/pdf/10.1111/j.1747-9991.2010.00344.x","page":"893-903","source":"Wiley Online Library","title":"Theories of Political Justification","volume":"5","author":[{"family":"Chambers","given":"Simone"}],"issued":{"date-parts":[["2010"]]}}},{"id":3056,"uris":["http://zotero.org/users/2073125/items/NDXVP4VG"],"itemData":{"id":3056,"type":"article-journal","abstract":"This Article reviews several functional explanations that have been given to the dramatic spread of proportionality (early legal development, conflict managemen","container-title":"The American Journal of Comparative Law","DOI":"10.5131/AJCL.2010.0018","ISSN":"0002-919X","issue":"2","journalAbbreviation":"Am J Comp Law","language":"en","page":"463-490","source":"academic.oup.com","title":"Proportionality and the Culture of Justification","volume":"59","author":[{"family":"Cohen-Eliya","given":"Moshe"},{"family":"Porat","given":"Iddo"}],"issued":{"date-parts":[["2011",4,1]]}},"label":"page"},{"id":11778,"uris":["http://zotero.org/users/2073125/items/T4TGDPZE"],"itemData":{"id":11778,"type":"chapter","abstract":"In many countries today there is a growing and genuinely-held concern that the institutional arrangements for the protection of human rights suffer from a ‘democratic deficit’. Yet at the same time there appears to be a new consensus that human rights require legal protection and that all branches of the state have a shared responsibility for upholding and realising those legally protected rights. This volume of essays tries to understand this paradox by considering how parliaments have sought to discharge their responsibility to protect human rights. Contributors seek to take stock of the extent to which national and sub-national parliaments have developed legislative review for human rights compatibility, and the effect of international initiatives to increase the role of parliaments in relation to human rights. They also consider the relationship between legislative review and judicial review for human rights compatibility, and whether courts could do more to incentivise better democratic deliberation about human rights. Enhancing the role of parliaments in the protection and realisation of human rights emerges as an idea whose time has come, but the volume makes clear that there is a great deal more to do in all parliaments to develop the institutional structures, processes and mechanisms necessary to put human rights at the centre of their function of making law and holding the government to account. The sense of democratic deficit is unlikely to dissipate unless parliaments empower themselves by exercising the considerable powers and responsibilities they already have to interpret and apply human rights law, and courts in turn pay closer attention to that reasoned consideration. ‘I believe that this book will be of enormous value to all of those interested in human rights, in modern legislatures, and the relationship between the two. As this is absolutely fundamental to the characterand credibility of democracy, academic insight of this sort is especially welcome. This is an area where I expect there to be an ever expanding community of interest.’ From the Foreword by the Rt Hon John Bercow MP, Speaker of the House of Commons","container-title":"Parliaments and Human Rights: Redressing the Democratic Deficit","event-place":"Oxford","ISBN":"978-1-84946-561-8","language":"English","page":"425-445","publisher":"Hart Publishing","publisher-place":"Oxford","source":"Amazon","title":"What is a ‘democratic culture of justification’?","editor":[{"family":"Hunt","given":"Murray"},{"family":"Hooper","given":"Hayley"},{"family":"Yowell","given":"Paul"}],"author":[{"family":"Dyzenhaus","given":"David"}],"issued":{"date-parts":[["2015",3,26]]}},"locator":"425-427","label":"page"},{"id":11779,"uris":["http://zotero.org/users/2073125/items/XER5M5A6"],"itemData":{"id":11779,"type":"article-journal","abstract":"The pragmatist view of politics is at its very heart epistemic, for it treats morals and politics as a kind of deliberation or inquiry, not terribly unlike other kinds of inquiry. With the exception of Richard Rorty, the pragmatists argue that morals and politics, like science, aim at the truth or at getting things right and that the best method for achieving this aim is a method they sometimes call the scientific method or the method of intelligence – what would now be termed deliberative democracy. Hence, the pragmatists offer an argument for democracy which appeals to the quality of the decisions supplied by democratic procedure. Why should we value decisions that are the products of voting after open debate over private decision-making and then voting, over bargaining, or over elimination of those who disagree with us? We should value them because the deliberative democratic method is more likely to give us true or right or justified answers to our questions. Rorty, of course, thinks that no inquiry aims at the truth and that nothing about pragmatism speaks in democracy's favor. This paper will show how his brand of pragmatism betrays what is good and deeply interesting in the pragmatist tradition.","container-title":"Episteme","DOI":"10.3366/E1742360008000257","ISSN":"1750-0117, 1742-3600","issue":"1","language":"en","note":"publisher: Cambridge University Press","page":"94-105","source":"Cambridge University Press","title":"A Culture of Justification: The Pragmatist's Epistemic Argument for Democracy","title-short":"A Culture of Justification","volume":"5","author":[{"family":"Misak","given":"Cheryl"}],"issued":{"date-parts":[["2008",2]]}}}],"schema":"https://github.com/citation-style-language/schema/raw/master/csl-citation.json"} </w:instrText>
      </w:r>
      <w:r w:rsidRPr="00752C15">
        <w:rPr>
          <w:rFonts w:ascii="Times New Roman" w:hAnsi="Times New Roman" w:cs="Times New Roman"/>
        </w:rPr>
        <w:fldChar w:fldCharType="separate"/>
      </w:r>
      <w:r w:rsidR="00B77CAA" w:rsidRPr="00752C15">
        <w:rPr>
          <w:rFonts w:ascii="Times New Roman" w:hAnsi="Times New Roman" w:cs="Times New Roman"/>
        </w:rPr>
        <w:t xml:space="preserve">Simone Chambers, ‘Theories of Political Justification’ (2010) 5 Philosophy Compass 893; Moshe Cohen-Eliya and Iddo Porat, ‘Proportionality and the Culture of Justification’ (2011) 59 The American Journal of Comparative Law 463; David Dyzenhaus, ‘What Is a “Democratic Culture of Justification”?’ in Murray Hunt, Hayley Hooper and Paul Yowell (eds), </w:t>
      </w:r>
      <w:r w:rsidR="00B77CAA" w:rsidRPr="00752C15">
        <w:rPr>
          <w:rFonts w:ascii="Times New Roman" w:hAnsi="Times New Roman" w:cs="Times New Roman"/>
          <w:i/>
          <w:iCs/>
        </w:rPr>
        <w:t>Parliaments and Human Rights: Redressing the Democratic Deficit</w:t>
      </w:r>
      <w:r w:rsidR="00B77CAA" w:rsidRPr="00752C15">
        <w:rPr>
          <w:rFonts w:ascii="Times New Roman" w:hAnsi="Times New Roman" w:cs="Times New Roman"/>
        </w:rPr>
        <w:t xml:space="preserve"> (Hart Publishing 2015) 425–427; Cheryl Misak, ‘A Culture of Justification: The Pragmatist’s Epistemic Argument for Democracy’ (2008) 5 Episteme 94.</w:t>
      </w:r>
      <w:r w:rsidRPr="00752C15">
        <w:rPr>
          <w:rFonts w:ascii="Times New Roman" w:hAnsi="Times New Roman" w:cs="Times New Roman"/>
        </w:rPr>
        <w:fldChar w:fldCharType="end"/>
      </w:r>
    </w:p>
  </w:footnote>
  <w:footnote w:id="38">
    <w:p w14:paraId="44B1F363" w14:textId="25274E0E" w:rsidR="00252725" w:rsidRPr="00752C15" w:rsidRDefault="00252725" w:rsidP="00752C15">
      <w:pPr>
        <w:pStyle w:val="FootnoteText"/>
        <w:jc w:val="both"/>
        <w:rPr>
          <w:rFonts w:ascii="Times New Roman" w:hAnsi="Times New Roman" w:cs="Times New Roman"/>
          <w:lang w:val="en-US"/>
        </w:rPr>
      </w:pPr>
      <w:r w:rsidRPr="00DC52BD">
        <w:rPr>
          <w:rStyle w:val="FootnoteReference"/>
        </w:rPr>
        <w:footnoteRef/>
      </w:r>
      <w:r w:rsidRPr="00752C15">
        <w:rPr>
          <w:rFonts w:ascii="Times New Roman" w:hAnsi="Times New Roman" w:cs="Times New Roman"/>
        </w:rPr>
        <w:t xml:space="preserve"> </w:t>
      </w:r>
      <w:r w:rsidRPr="00752C15">
        <w:rPr>
          <w:rFonts w:ascii="Times New Roman" w:hAnsi="Times New Roman" w:cs="Times New Roman"/>
        </w:rPr>
        <w:fldChar w:fldCharType="begin"/>
      </w:r>
      <w:r w:rsidR="003F255E" w:rsidRPr="00752C15">
        <w:rPr>
          <w:rFonts w:ascii="Times New Roman" w:hAnsi="Times New Roman" w:cs="Times New Roman"/>
        </w:rPr>
        <w:instrText xml:space="preserve"> ADDIN ZOTERO_ITEM CSL_CITATION {"citationID":"ORJO9opD","properties":{"formattedCitation":"E.g. Amy Gutmann, \\uc0\\u8216{}Democracy, Philosophy, and Justification\\uc0\\u8217{} in Christine Koggel (ed), {\\i{}Moral Issues in Global Perspective \\uc0\\u8211{} Volume 1: Moral and Political Theory} (Second Edition, Broadview Press 2006); David Seedhouse, {\\i{}The Case for Democracy in the COVID-19 Pandemic} (SAGE 2020).","plainCitation":"E.g. Amy Gutmann, ‘Democracy, Philosophy, and Justification’ in Christine Koggel (ed), Moral Issues in Global Perspective – Volume 1: Moral and Political Theory (Second Edition, Broadview Press 2006); David Seedhouse, The Case for Democracy in the COVID-19 Pandemic (SAGE 2020).","noteIndex":37},"citationItems":[{"id":11770,"uris":["http://zotero.org/users/2073125/items/UQC7NPCY"],"itemData":{"id":11770,"type":"chapter","abstract":"Now available in three thematic volumes, the second edition of Moral Issues in Global Perspective is a collection of the newest and best articles on current moral issues by moral and political theorists from around the globe. Each volume seeks to challenge the standard approaches to morality and moral issues shaped by Western liberal theory and to extend the inquiry beyond the context of North America. Covering a broad range of issues and arguments, this collection includes critiques of traditional liberal accounts of rights, justice, and moral values, while raising questions about the treatment of disadvantaged groups within and across societies affected by globalization. Providing new perspectives on issues such as war and terrorism, reproduction, euthanasia, censorship, and the environment, each volume of Moral Issues in Global Perspective incorporates work by race, class, feminist, and disability theorists.   Moral and Political Theory, the first of the three volumes, surveys a number of traditional Western liberal approaches to moral theory, human rights, justice, and democracy, as well as contemporary critiques of these approaches. With nineteen new essays, three of which were written especially for this edition, this volume covers the necessary theories for understanding moral issues in a global context.   Moral Issues in Global Perspective is available in three separate volumes—Moral and Political Theory, Human Diversity and Equality, and Moral Issues.","container-title":"Moral Issues in Global Perspective – Volume 1: Moral and Political Theory","edition":"Second Edition","event-place":"Toronto","ISBN":"978-1-55111-747-8","language":"en","note":"Google-Books-ID: C39aDwAAQBAJ","page":"178-183","publisher":"Broadview Press","publisher-place":"Toronto","source":"Google Books","title":"Democracy, Philosophy, and Justification","editor":[{"family":"Koggel","given":"Christine"}],"author":[{"family":"Gutmann","given":"Amy"}],"issued":{"date-parts":[["2006",3,2]]}},"label":"page","prefix":"E.g."},{"id":4322,"uris":["http://zotero.org/users/2073125/items/MGHW8DDD"],"itemData":{"id":4322,"type":"book","abstract":"One moment life was normal, the next, governments around the world were imposing radical lockdowns of their populations. But why were decision-makers so readily ignoring centuries of hard-won civil freedoms? Where was the discussion of ethics and human rights? Why were we so easily controlled and why were our controllers so willing to do it?  In The Case for Democracy, David Seedhouse explores the psychological biases; distorted risk perceptions; frenetic journalism; the disputed science; the narrow focus of ′experts′; value judgements dressed up as truths; propaganda; the invisibility of ethics; and the alarming irrelevance of inclusive democracy that have been features of governmental responses to the covid-19 pandemic.  Seedhouse argues that the chaotic governmental response to Coronavirus, with no attempt to include the public, is the perfect argument for an extensive, participatory democracy; a democracy that demonstrates practical decision making by listening to everyone’s knowledge and expertise. Now is the time for us to solve our problems together.","event-place":"London","ISBN":"978-1-5297-5181-9","language":"English","number-of-pages":"192","publisher":"SAGE","publisher-place":"London","source":"Amazon","title":"The Case for Democracy in the COVID-19 Pandemic","author":[{"family":"Seedhouse","given":"David"}],"issued":{"date-parts":[["2020",10,23]]}}}],"schema":"https://github.com/citation-style-language/schema/raw/master/csl-citation.json"} </w:instrText>
      </w:r>
      <w:r w:rsidRPr="00752C15">
        <w:rPr>
          <w:rFonts w:ascii="Times New Roman" w:hAnsi="Times New Roman" w:cs="Times New Roman"/>
        </w:rPr>
        <w:fldChar w:fldCharType="separate"/>
      </w:r>
      <w:r w:rsidR="00A4546F" w:rsidRPr="00752C15">
        <w:rPr>
          <w:rFonts w:ascii="Times New Roman" w:hAnsi="Times New Roman" w:cs="Times New Roman"/>
        </w:rPr>
        <w:t xml:space="preserve">E.g. Amy Gutmann, ‘Democracy, Philosophy, and Justification’ in Christine Koggel (ed), </w:t>
      </w:r>
      <w:r w:rsidR="00A4546F" w:rsidRPr="00752C15">
        <w:rPr>
          <w:rFonts w:ascii="Times New Roman" w:hAnsi="Times New Roman" w:cs="Times New Roman"/>
          <w:i/>
          <w:iCs/>
        </w:rPr>
        <w:t>Moral Issues in Global Perspective – Volume 1: Moral and Political Theory</w:t>
      </w:r>
      <w:r w:rsidR="00A4546F" w:rsidRPr="00752C15">
        <w:rPr>
          <w:rFonts w:ascii="Times New Roman" w:hAnsi="Times New Roman" w:cs="Times New Roman"/>
        </w:rPr>
        <w:t xml:space="preserve"> (Second Edition, Broadview Press 2006); David Seedhouse, </w:t>
      </w:r>
      <w:r w:rsidR="00A4546F" w:rsidRPr="00752C15">
        <w:rPr>
          <w:rFonts w:ascii="Times New Roman" w:hAnsi="Times New Roman" w:cs="Times New Roman"/>
          <w:i/>
          <w:iCs/>
        </w:rPr>
        <w:t>The Case for Democracy in the COVID-19 Pandemic</w:t>
      </w:r>
      <w:r w:rsidR="00A4546F" w:rsidRPr="00752C15">
        <w:rPr>
          <w:rFonts w:ascii="Times New Roman" w:hAnsi="Times New Roman" w:cs="Times New Roman"/>
        </w:rPr>
        <w:t xml:space="preserve"> (SAGE 2020).</w:t>
      </w:r>
      <w:r w:rsidRPr="00752C15">
        <w:rPr>
          <w:rFonts w:ascii="Times New Roman" w:hAnsi="Times New Roman" w:cs="Times New Roman"/>
        </w:rPr>
        <w:fldChar w:fldCharType="end"/>
      </w:r>
    </w:p>
  </w:footnote>
  <w:footnote w:id="39">
    <w:p w14:paraId="03FC875A" w14:textId="68A18973" w:rsidR="007F7BFD" w:rsidRPr="00752C15" w:rsidRDefault="007F7BFD" w:rsidP="00752C15">
      <w:pPr>
        <w:pStyle w:val="FootnoteText"/>
        <w:jc w:val="both"/>
        <w:rPr>
          <w:rFonts w:ascii="Times New Roman" w:hAnsi="Times New Roman" w:cs="Times New Roman"/>
          <w:lang w:val="en-US"/>
        </w:rPr>
      </w:pPr>
      <w:r w:rsidRPr="00DC52BD">
        <w:rPr>
          <w:rStyle w:val="FootnoteReference"/>
        </w:rPr>
        <w:footnoteRef/>
      </w:r>
      <w:r w:rsidRPr="00752C15">
        <w:rPr>
          <w:rFonts w:ascii="Times New Roman" w:hAnsi="Times New Roman" w:cs="Times New Roman"/>
        </w:rPr>
        <w:t xml:space="preserve"> </w:t>
      </w:r>
      <w:r w:rsidRPr="00752C15">
        <w:rPr>
          <w:rFonts w:ascii="Times New Roman" w:hAnsi="Times New Roman" w:cs="Times New Roman"/>
        </w:rPr>
        <w:fldChar w:fldCharType="begin"/>
      </w:r>
      <w:r w:rsidR="003F255E" w:rsidRPr="00752C15">
        <w:rPr>
          <w:rFonts w:ascii="Times New Roman" w:hAnsi="Times New Roman" w:cs="Times New Roman"/>
        </w:rPr>
        <w:instrText xml:space="preserve"> ADDIN ZOTERO_ITEM CSL_CITATION {"citationID":"IOm3rugU","properties":{"formattedCitation":"Cindy Holder, \\uc0\\u8216{}Justification\\uc0\\u8217{} in Antonella Besussi (ed), {\\i{}A Companion to Political Philosophy: Methods, Tools, Topics} (Ashgate 2012).","plainCitation":"Cindy Holder, ‘Justification’ in Antonella Besussi (ed), A Companion to Political Philosophy: Methods, Tools, Topics (Ashgate 2012).","noteIndex":38},"citationItems":[{"id":11773,"uris":["http://zotero.org/users/2073125/items/ILVQYJ2Y"],"itemData":{"id":11773,"type":"chapter","abstract":"Offers an overview of the key concepts and issues of contemporary political philosophy, providing the reference work for scholars and advanced students. This book is structured in three parts, covering methodological issues; tools and argumentative strategies employed by political philosophy; and concepts and topics key to the discipline.","container-title":"A Companion to Political Philosophy: Methods, Tools, Topics","event-place":"Farnham","ISBN":"978-1-4094-1062-1","language":"English","page":"101-110","publisher":"Ashgate","publisher-place":"Farnham","source":"Amazon","title":"Justification","editor":[{"family":"Besussi","given":"Antonella"}],"author":[{"family":"Holder","given":"Cindy"}],"issued":{"date-parts":[["2012",8,21]]}}}],"schema":"https://github.com/citation-style-language/schema/raw/master/csl-citation.json"} </w:instrText>
      </w:r>
      <w:r w:rsidRPr="00752C15">
        <w:rPr>
          <w:rFonts w:ascii="Times New Roman" w:hAnsi="Times New Roman" w:cs="Times New Roman"/>
        </w:rPr>
        <w:fldChar w:fldCharType="separate"/>
      </w:r>
      <w:r w:rsidRPr="00752C15">
        <w:rPr>
          <w:rFonts w:ascii="Times New Roman" w:hAnsi="Times New Roman" w:cs="Times New Roman"/>
        </w:rPr>
        <w:t xml:space="preserve">Cindy Holder, ‘Justification’ in Antonella Besussi (ed), </w:t>
      </w:r>
      <w:r w:rsidRPr="00752C15">
        <w:rPr>
          <w:rFonts w:ascii="Times New Roman" w:hAnsi="Times New Roman" w:cs="Times New Roman"/>
          <w:i/>
          <w:iCs/>
        </w:rPr>
        <w:t>A Companion to Political Philosophy: Methods, Tools, Topics</w:t>
      </w:r>
      <w:r w:rsidRPr="00752C15">
        <w:rPr>
          <w:rFonts w:ascii="Times New Roman" w:hAnsi="Times New Roman" w:cs="Times New Roman"/>
        </w:rPr>
        <w:t xml:space="preserve"> (Ashgate 2012).</w:t>
      </w:r>
      <w:r w:rsidRPr="00752C15">
        <w:rPr>
          <w:rFonts w:ascii="Times New Roman" w:hAnsi="Times New Roman" w:cs="Times New Roman"/>
        </w:rPr>
        <w:fldChar w:fldCharType="end"/>
      </w:r>
    </w:p>
  </w:footnote>
  <w:footnote w:id="40">
    <w:p w14:paraId="621B1661" w14:textId="2A3033A7" w:rsidR="00D14D86" w:rsidRPr="00752C15" w:rsidRDefault="00D14D86" w:rsidP="00752C15">
      <w:pPr>
        <w:pStyle w:val="FootnoteText"/>
        <w:jc w:val="both"/>
        <w:rPr>
          <w:rFonts w:ascii="Times New Roman" w:hAnsi="Times New Roman" w:cs="Times New Roman"/>
          <w:lang w:val="en-US"/>
        </w:rPr>
      </w:pPr>
      <w:r w:rsidRPr="00DC52BD">
        <w:rPr>
          <w:rStyle w:val="FootnoteReference"/>
        </w:rPr>
        <w:footnoteRef/>
      </w:r>
      <w:r w:rsidRPr="00752C15">
        <w:rPr>
          <w:rFonts w:ascii="Times New Roman" w:hAnsi="Times New Roman" w:cs="Times New Roman"/>
        </w:rPr>
        <w:t xml:space="preserve"> </w:t>
      </w:r>
      <w:r w:rsidRPr="00752C15">
        <w:rPr>
          <w:rFonts w:ascii="Times New Roman" w:hAnsi="Times New Roman" w:cs="Times New Roman"/>
        </w:rPr>
        <w:fldChar w:fldCharType="begin"/>
      </w:r>
      <w:r w:rsidR="003F255E" w:rsidRPr="00752C15">
        <w:rPr>
          <w:rFonts w:ascii="Times New Roman" w:hAnsi="Times New Roman" w:cs="Times New Roman"/>
        </w:rPr>
        <w:instrText xml:space="preserve"> ADDIN ZOTERO_ITEM CSL_CITATION {"citationID":"wYFynGPZ","properties":{"formattedCitation":"Cf. Philip Selznick, \\uc0\\u8216{}\\uc0\\u8220{}Law in Context\\uc0\\u8221{} Revisited\\uc0\\u8217{} (2003) 30 Journal of Law and Society 177.","plainCitation":"Cf. Philip Selznick, ‘“Law in Context” Revisited’ (2003) 30 Journal of Law and Society 177.","noteIndex":39},"citationItems":[{"id":11761,"uris":["http://zotero.org/users/2073125/items/CSPVST4P"],"itemData":{"id":11761,"type":"article-journal","abstract":"Although ‘Law in Context’ is a well-known motto for law-and-society scholarship, the idea could benefit from closer examination. This paper introduces a principle of `fidelity to context' and suggests that contexts may be transcended by invoking general purposes and principles. These issues have special relevance for contextual analysis of free speech, academic freedom, and other rights and responsibilities. I also consider the relevance of legal pluralism, and the contextual analysis of human rights.","container-title":"Journal of Law and Society","DOI":"10.1111/1467-6478.00252","ISSN":"1467-6478","issue":"2","language":"en","note":"_eprint: https://onlinelibrary.wiley.com/doi/pdf/10.1111/1467-6478.00252","page":"177-186","source":"Wiley Online Library","title":"‘Law in Context’ Revisited","volume":"30","author":[{"family":"Selznick","given":"Philip"}],"issued":{"date-parts":[["2003"]]}},"label":"page","prefix":"Cf."}],"schema":"https://github.com/citation-style-language/schema/raw/master/csl-citation.json"} </w:instrText>
      </w:r>
      <w:r w:rsidRPr="00752C15">
        <w:rPr>
          <w:rFonts w:ascii="Times New Roman" w:hAnsi="Times New Roman" w:cs="Times New Roman"/>
        </w:rPr>
        <w:fldChar w:fldCharType="separate"/>
      </w:r>
      <w:r w:rsidRPr="00752C15">
        <w:rPr>
          <w:rFonts w:ascii="Times New Roman" w:hAnsi="Times New Roman" w:cs="Times New Roman"/>
        </w:rPr>
        <w:t>Cf. Philip Selznick, ‘“Law in Context” Revisited’ (2003) 30 Journal of Law and Society 177.</w:t>
      </w:r>
      <w:r w:rsidRPr="00752C15">
        <w:rPr>
          <w:rFonts w:ascii="Times New Roman" w:hAnsi="Times New Roman" w:cs="Times New Roman"/>
        </w:rPr>
        <w:fldChar w:fldCharType="end"/>
      </w:r>
    </w:p>
  </w:footnote>
  <w:footnote w:id="41">
    <w:p w14:paraId="24F1B09F" w14:textId="326F2820" w:rsidR="00CA3C2E" w:rsidRPr="00752C15" w:rsidRDefault="00CA3C2E" w:rsidP="00752C15">
      <w:pPr>
        <w:pStyle w:val="FootnoteText"/>
        <w:jc w:val="both"/>
        <w:rPr>
          <w:rFonts w:ascii="Times New Roman" w:hAnsi="Times New Roman" w:cs="Times New Roman"/>
          <w:lang w:val="en-US"/>
        </w:rPr>
      </w:pPr>
      <w:r w:rsidRPr="00DC52BD">
        <w:rPr>
          <w:rStyle w:val="FootnoteReference"/>
        </w:rPr>
        <w:footnoteRef/>
      </w:r>
      <w:r w:rsidRPr="00752C15">
        <w:rPr>
          <w:rFonts w:ascii="Times New Roman" w:hAnsi="Times New Roman" w:cs="Times New Roman"/>
        </w:rPr>
        <w:t xml:space="preserve"> </w:t>
      </w:r>
      <w:r w:rsidRPr="00752C15">
        <w:rPr>
          <w:rFonts w:ascii="Times New Roman" w:hAnsi="Times New Roman" w:cs="Times New Roman"/>
        </w:rPr>
        <w:fldChar w:fldCharType="begin"/>
      </w:r>
      <w:r w:rsidR="00A6766F" w:rsidRPr="00752C15">
        <w:rPr>
          <w:rFonts w:ascii="Times New Roman" w:hAnsi="Times New Roman" w:cs="Times New Roman"/>
        </w:rPr>
        <w:instrText xml:space="preserve"> ADDIN ZOTERO_ITEM CSL_CITATION {"citationID":"uA7UNk55","properties":{"formattedCitation":"Rob van Gestel, Hans-Wolfgang Micklitz and Edward L Rubin, \\uc0\\u8216{}Introduction\\uc0\\u8217{} in Rob van Gestel, Hans-Wolfgang Micklitz and Edward L Rubin (eds), {\\i{}Rethinking Legal Scholarship} (CUP 2016).","plainCitation":"Rob van Gestel, Hans-Wolfgang Micklitz and Edward L Rubin, ‘Introduction’ in Rob van Gestel, Hans-Wolfgang Micklitz and Edward L Rubin (eds), Rethinking Legal Scholarship (CUP 2016).","noteIndex":40},"citationItems":[{"id":11766,"uris":["http://zotero.org/users/2073125/items/7PN963VD"],"itemData":{"id":11766,"type":"chapter","abstract":"Although American scholars sometimes consider European legal scholarship as old-fashioned and inward-looking and Europeans often perceive American legal scholarship as amateur social science, both traditions share a joint challenge. If legal scholarship becomes too much separated from practice, legal scholars will ultimately make themselves superfluous. If legal scholars, on the other hand, cannot explain to other disciplines what is academic about their research, which methodologies are typical, and what separates proper research from mediocre or poor research, they will probably end up in a similar situation. Therefore we need a debate on what unites legal academics on both sides of the Atlantic. Should legal scholarship aspire to the status of a science and gradually adopt more and more of the methods, (quality) standards, and practices of other (social) sciences? What sort of methods do we need to study law in its social context and how should legal scholarship deal with the challenges posed by globalization?","container-title":"Rethinking Legal Scholarship","event-place":"Cambridge","ISBN":"978-1-107-13092-0","language":"English","page":"1-27","publisher":"CUP","publisher-place":"Cambridge","source":"Amazon","title":"Introduction","editor":[{"family":"Gestel","given":"Rob","dropping-particle":"van"},{"family":"Micklitz","given":"Hans-Wolfgang"},{"family":"Rubin","given":"Edward L."}],"author":[{"family":"Gestel","given":"Rob","dropping-particle":"van"},{"family":"Micklitz","given":"Hans-Wolfgang"},{"family":"Rubin","given":"Edward L."}],"issued":{"date-parts":[["2016",11,30]]}}}],"schema":"https://github.com/citation-style-language/schema/raw/master/csl-citation.json"} </w:instrText>
      </w:r>
      <w:r w:rsidRPr="00752C15">
        <w:rPr>
          <w:rFonts w:ascii="Times New Roman" w:hAnsi="Times New Roman" w:cs="Times New Roman"/>
        </w:rPr>
        <w:fldChar w:fldCharType="separate"/>
      </w:r>
      <w:r w:rsidR="00A6766F" w:rsidRPr="00752C15">
        <w:rPr>
          <w:rFonts w:ascii="Times New Roman" w:hAnsi="Times New Roman" w:cs="Times New Roman"/>
        </w:rPr>
        <w:t xml:space="preserve">Rob van Gestel, Hans-Wolfgang Micklitz and Edward L Rubin, ‘Introduction’ in Rob van Gestel, Hans-Wolfgang Micklitz and Edward L Rubin (eds), </w:t>
      </w:r>
      <w:r w:rsidR="00A6766F" w:rsidRPr="00752C15">
        <w:rPr>
          <w:rFonts w:ascii="Times New Roman" w:hAnsi="Times New Roman" w:cs="Times New Roman"/>
          <w:i/>
          <w:iCs/>
        </w:rPr>
        <w:t>Rethinking Legal Scholarship</w:t>
      </w:r>
      <w:r w:rsidR="00A6766F" w:rsidRPr="00752C15">
        <w:rPr>
          <w:rFonts w:ascii="Times New Roman" w:hAnsi="Times New Roman" w:cs="Times New Roman"/>
        </w:rPr>
        <w:t xml:space="preserve"> (CUP 2016).</w:t>
      </w:r>
      <w:r w:rsidRPr="00752C15">
        <w:rPr>
          <w:rFonts w:ascii="Times New Roman" w:hAnsi="Times New Roman" w:cs="Times New Roman"/>
        </w:rPr>
        <w:fldChar w:fldCharType="end"/>
      </w:r>
    </w:p>
  </w:footnote>
  <w:footnote w:id="42">
    <w:p w14:paraId="7EF01778" w14:textId="3F4DC2FA" w:rsidR="00D95BE0" w:rsidRPr="00752C15" w:rsidRDefault="00D95BE0" w:rsidP="00752C15">
      <w:pPr>
        <w:pStyle w:val="FootnoteText"/>
        <w:jc w:val="both"/>
        <w:rPr>
          <w:rFonts w:ascii="Times New Roman" w:hAnsi="Times New Roman" w:cs="Times New Roman"/>
          <w:lang w:val="sk-SK"/>
        </w:rPr>
      </w:pPr>
      <w:r w:rsidRPr="00DC52BD">
        <w:rPr>
          <w:rStyle w:val="FootnoteReference"/>
        </w:rPr>
        <w:footnoteRef/>
      </w:r>
      <w:r w:rsidRPr="00752C15">
        <w:rPr>
          <w:rFonts w:ascii="Times New Roman" w:hAnsi="Times New Roman" w:cs="Times New Roman"/>
        </w:rPr>
        <w:t xml:space="preserve"> </w:t>
      </w:r>
      <w:r w:rsidRPr="00752C15">
        <w:rPr>
          <w:rFonts w:ascii="Times New Roman" w:hAnsi="Times New Roman" w:cs="Times New Roman"/>
        </w:rPr>
        <w:fldChar w:fldCharType="begin"/>
      </w:r>
      <w:r w:rsidR="003F255E" w:rsidRPr="00752C15">
        <w:rPr>
          <w:rFonts w:ascii="Times New Roman" w:hAnsi="Times New Roman" w:cs="Times New Roman"/>
        </w:rPr>
        <w:instrText xml:space="preserve"> ADDIN ZOTERO_ITEM CSL_CITATION {"citationID":"DIaPjgAL","properties":{"formattedCitation":"Lenka Bu\\uc0\\u353{}t\\uc0\\u237{}kov\\uc0\\u225{} and Pavol Babo\\uc0\\u353{}, \\uc0\\u8216{}Best in Covid: Populists in the Time of Pandemic\\uc0\\u8217{} (2020) 8 Politics and Governance 496, 502\\uc0\\u8211{}503; Miroslav Pa\\uc0\\u382{}ma and Pavol Hardo\\uc0\\u353{}, \\uc0\\u8216{}Capturing Populist Elements in Mediated Discourse: The Case of the 2020 Slovak Parliamentary Elections\\uc0\\u8217{} (2023) 9 Intersections. East European Journal of Society and Politics 23.","plainCitation":"Lenka Buštíková and Pavol Baboš, ‘Best in Covid: Populists in the Time of Pandemic’ (2020) 8 Politics and Governance 496, 502–503; Miroslav Pažma and Pavol Hardoš, ‘Capturing Populist Elements in Mediated Discourse: The Case of the 2020 Slovak Parliamentary Elections’ (2023) 9 Intersections. East European Journal of Society and Politics 23.","noteIndex":41},"citationItems":[{"id":3481,"uris":["http://zotero.org/users/2073125/items/K9TNAZVR"],"itemData":{"id":3481,"type":"article-journal","container-title":"Politics and Governance","DOI":"10.17645/pag.v8i4.3424","ISSN":"2183-2463","issue":"4","language":"en","license":"Copyright (c) 2020 Lenka Buštíková","note":"number: 4","page":"496-508","source":"www.cogitatiopress.com","title":"Best in Covid: Populists in the Time of Pandemic","title-short":"Best in Covid","volume":"8","author":[{"family":"Buštíková","given":"Lenka"},{"family":"Baboš","given":"Pavol"}],"issued":{"date-parts":[["2020",12,17]]}},"locator":"502-503","label":"page"},{"id":10802,"uris":["http://zotero.org/users/2073125/items/FXQCMCDV"],"itemData":{"id":10802,"type":"article-journal","abstract":"The article measures the degree of populist elements present in party leaders’ discourses delivered as a part of their appearances in TV debates during the run up to the 2020 Slovak parliamentary elections. With the use of the ‘holistic grading’ approach, we empirically capture the presence and prominence of populist elements in textual transcripts of speeches delivered by 4 opposition party leaders. We start by defining populism as a discourse which can express a set of unique ideas and then follow up with arguments for the use of party leaders’ communication as the object of analysis. We then proceed to operationalize the exact coding process of the ‘holistic grading’ method which is used in our analysis. The measurement results quantitatively represent the degree of populist elements in the communication delivered during the electoral campaign. We note that the ‘holistic grading’ method was successfully able to capture populist elements in the performances of actors who have been previously labelled populist. We find consistent use of populist discourse in the performances of Boris Kollár, Igor Matovič, and Marián Kotleba, with the latter two producing several extremely populist performances. We then discuss our results and further implications derived from the collected data.","container-title":"Intersections. East European Journal of Society and Politics","DOI":"10.17356/ieejsp.v9i1.993","ISSN":"2416-089X","issue":"1","language":"en","license":"Copyright (c) 2023 Intersections. East European Journal of Society and Politics","note":"number: 1","page":"23-41","source":"intersections.tk.mta.hu","title":"Capturing populist elements in mediated discourse: The case of the 2020 Slovak parliamentary elections","title-short":"Capturing populist elements in mediated discourse","volume":"9","author":[{"family":"Pažma","given":"Miroslav"},{"family":"Hardoš","given":"Pavol"}],"issued":{"date-parts":[["2023",4,26]]}}}],"schema":"https://github.com/citation-style-language/schema/raw/master/csl-citation.json"} </w:instrText>
      </w:r>
      <w:r w:rsidRPr="00752C15">
        <w:rPr>
          <w:rFonts w:ascii="Times New Roman" w:hAnsi="Times New Roman" w:cs="Times New Roman"/>
        </w:rPr>
        <w:fldChar w:fldCharType="separate"/>
      </w:r>
      <w:r w:rsidR="00BF3BC4" w:rsidRPr="00752C15">
        <w:rPr>
          <w:rFonts w:ascii="Times New Roman" w:hAnsi="Times New Roman" w:cs="Times New Roman"/>
        </w:rPr>
        <w:t>Lenka Buštíková and Pavol Baboš, ‘Best in Covid: Populists in the Time of Pandemic’ (2020) 8 Politics and Governance 496, 502–503; Miroslav Pažma and Pavol Hardoš, ‘Capturing Populist Elements in Mediated Discourse: The Case of the 2020 Slovak Parliamentary Elections’ (2023) 9 Intersections. East European Journal of Society and Politics 23.</w:t>
      </w:r>
      <w:r w:rsidRPr="00752C15">
        <w:rPr>
          <w:rFonts w:ascii="Times New Roman" w:hAnsi="Times New Roman" w:cs="Times New Roman"/>
        </w:rPr>
        <w:fldChar w:fldCharType="end"/>
      </w:r>
    </w:p>
  </w:footnote>
  <w:footnote w:id="43">
    <w:p w14:paraId="6724D857" w14:textId="19DF7E08" w:rsidR="00886927" w:rsidRPr="00752C15" w:rsidRDefault="00886927" w:rsidP="00752C15">
      <w:pPr>
        <w:pStyle w:val="FootnoteText"/>
        <w:jc w:val="both"/>
        <w:rPr>
          <w:rFonts w:ascii="Times New Roman" w:hAnsi="Times New Roman" w:cs="Times New Roman"/>
          <w:lang w:val="en-US"/>
        </w:rPr>
      </w:pPr>
      <w:r w:rsidRPr="00DC52BD">
        <w:rPr>
          <w:rStyle w:val="FootnoteReference"/>
        </w:rPr>
        <w:footnoteRef/>
      </w:r>
      <w:r w:rsidRPr="00752C15">
        <w:rPr>
          <w:rFonts w:ascii="Times New Roman" w:hAnsi="Times New Roman" w:cs="Times New Roman"/>
        </w:rPr>
        <w:t xml:space="preserve"> </w:t>
      </w:r>
      <w:r w:rsidRPr="00752C15">
        <w:rPr>
          <w:rFonts w:ascii="Times New Roman" w:hAnsi="Times New Roman" w:cs="Times New Roman"/>
        </w:rPr>
        <w:fldChar w:fldCharType="begin"/>
      </w:r>
      <w:r w:rsidR="003F255E" w:rsidRPr="00752C15">
        <w:rPr>
          <w:rFonts w:ascii="Times New Roman" w:hAnsi="Times New Roman" w:cs="Times New Roman"/>
        </w:rPr>
        <w:instrText xml:space="preserve"> ADDIN ZOTERO_ITEM CSL_CITATION {"citationID":"Y1skq2O7","properties":{"formattedCitation":"Dorothee Bohle and Edgars Eihmanis, \\uc0\\u8216{}East Central Europe in the COVID-19 Crisis\\uc0\\u8217{} (2022) 38 East European Politics 491, 501\\uc0\\u8211{}502; Tamara Popic and Alexandru D Moise, \\uc0\\u8216{}Government Responses to the COVID-19 Pandemic in Eastern and Western Europe: The Role of Health, Political and Economic Factors\\uc0\\u8217{} (2022) 38 East European Politics 507.","plainCitation":"Dorothee Bohle and Edgars Eihmanis, ‘East Central Europe in the COVID-19 Crisis’ (2022) 38 East European Politics 491, 501–502; Tamara Popic and Alexandru D Moise, ‘Government Responses to the COVID-19 Pandemic in Eastern and Western Europe: The Role of Health, Political and Economic Factors’ (2022) 38 East European Politics 507.","noteIndex":42},"citationItems":[{"id":10827,"uris":["http://zotero.org/users/2073125/items/55SFHKXA"],"itemData":{"id":10827,"type":"article-journal","abstract":"This article introduces the Special Issue on Eastern Europe in the COVID-19 crisis. It seeks to shed light on the different and partly worse experiences in East Central Europe compared to those of the West by analysing the crisis, its governance, and effects in the region from the vantage point of specific vulnerabilities, which have been building up for years. We identify four major vulnerabilities – a severe crisis of care, strains in social solidarity, democratic erosion and dependent capitalism – which have contributed to the East having experienced high infection and death rates, major economic crises, and pandemic power grabs.","container-title":"East European Politics","DOI":"10.1080/21599165.2022.2122051","ISSN":"2159-9165","issue":"4","note":"publisher: Routledge\n_eprint: https://doi.org/10.1080/21599165.2022.2122051","page":"491-506","source":"Taylor and Francis+NEJM","title":"East Central Europe in the COVID-19 crisis","volume":"38","author":[{"family":"Bohle","given":"Dorothee"},{"family":"Eihmanis","given":"Edgars"}],"issued":{"date-parts":[["2022",10,2]]}},"locator":"501-502","label":"page"},{"id":10829,"uris":["http://zotero.org/users/2073125/items/L9YHXMIA"],"itemData":{"id":10829,"type":"article-journal","abstract":"The article analyses the role of health, political and economic factors in governments' responses to COVID-19 pandemic in Eastern and Western Europe. It relies on survival analysis to test differences in timing of lockdowns and mixed effects models to unpack the determinants of the severity of restrictions. The results show that responses were correlated with health system capacities during the first wave, with Eastern European countries introducing restrictions early in epidemiological terms. As political and economic considerations took primacy in governments' responses, the socio-economically weaker countries in the East relaxed their restrictions sooner and were less likely to re-impose them compared to the West.","container-title":"East European Politics","DOI":"10.1080/21599165.2022.2122050","ISSN":"2159-9165","issue":"4","note":"publisher: Routledge\n_eprint: https://doi.org/10.1080/21599165.2022.2122050","page":"507-528","source":"Taylor and Francis+NEJM","title":"Government responses to the COVID-19 pandemic in eastern and Western Europe: the role of health, political and economic factors","title-short":"Government responses to the COVID-19 pandemic in eastern and Western Europe","volume":"38","author":[{"family":"Popic","given":"Tamara"},{"family":"Moise","given":"Alexandru D."}],"issued":{"date-parts":[["2022",10,2]]}}}],"schema":"https://github.com/citation-style-language/schema/raw/master/csl-citation.json"} </w:instrText>
      </w:r>
      <w:r w:rsidRPr="00752C15">
        <w:rPr>
          <w:rFonts w:ascii="Times New Roman" w:hAnsi="Times New Roman" w:cs="Times New Roman"/>
        </w:rPr>
        <w:fldChar w:fldCharType="separate"/>
      </w:r>
      <w:r w:rsidR="00BF3BC4" w:rsidRPr="00752C15">
        <w:rPr>
          <w:rFonts w:ascii="Times New Roman" w:hAnsi="Times New Roman" w:cs="Times New Roman"/>
        </w:rPr>
        <w:t>Dorothee Bohle and Edgars Eihmanis, ‘East Central Europe in the COVID-19 Crisis’ (2022) 38 East European Politics 491, 501–502; Tamara Popic and Alexandru D Moise, ‘Government Responses to the COVID-19 Pandemic in Eastern and Western Europe: The Role of Health, Political and Economic Factors’ (2022) 38 East European Politics 507.</w:t>
      </w:r>
      <w:r w:rsidRPr="00752C15">
        <w:rPr>
          <w:rFonts w:ascii="Times New Roman" w:hAnsi="Times New Roman" w:cs="Times New Roman"/>
        </w:rPr>
        <w:fldChar w:fldCharType="end"/>
      </w:r>
    </w:p>
  </w:footnote>
  <w:footnote w:id="44">
    <w:p w14:paraId="674EBE69" w14:textId="30E3088C" w:rsidR="00761E52" w:rsidRPr="00752C15" w:rsidRDefault="00761E52" w:rsidP="00752C15">
      <w:pPr>
        <w:pStyle w:val="FootnoteText"/>
        <w:jc w:val="both"/>
        <w:rPr>
          <w:rFonts w:ascii="Times New Roman" w:hAnsi="Times New Roman" w:cs="Times New Roman"/>
          <w:lang w:val="en-US"/>
        </w:rPr>
      </w:pPr>
      <w:r w:rsidRPr="00DC52BD">
        <w:rPr>
          <w:rStyle w:val="FootnoteReference"/>
        </w:rPr>
        <w:footnoteRef/>
      </w:r>
      <w:r w:rsidRPr="00752C15">
        <w:rPr>
          <w:rFonts w:ascii="Times New Roman" w:hAnsi="Times New Roman" w:cs="Times New Roman"/>
        </w:rPr>
        <w:t xml:space="preserve"> </w:t>
      </w:r>
      <w:r w:rsidRPr="00752C15">
        <w:rPr>
          <w:rFonts w:ascii="Times New Roman" w:hAnsi="Times New Roman" w:cs="Times New Roman"/>
        </w:rPr>
        <w:fldChar w:fldCharType="begin"/>
      </w:r>
      <w:r w:rsidR="003F255E" w:rsidRPr="00752C15">
        <w:rPr>
          <w:rFonts w:ascii="Times New Roman" w:hAnsi="Times New Roman" w:cs="Times New Roman"/>
        </w:rPr>
        <w:instrText xml:space="preserve"> ADDIN ZOTERO_ITEM CSL_CITATION {"citationID":"sxMfiw83","properties":{"formattedCitation":"Slavom\\uc0\\u237{}ra Hen\\uc0\\u269{}ekov\\uc0\\u225{} and \\uc0\\u352{}imon Drugda, \\uc0\\u8216{}Slovakia: Change of Government under COVID-19 Emergency\\uc0\\u8217{} ({\\i{}Verfassungsblog}, 22 May 2020) &lt;https://verfassungsblog.de/slovakia-change-of-government-under-covid-19-emergency/&gt;.","plainCitation":"Slavomíra Henčeková and Šimon Drugda, ‘Slovakia: Change of Government under COVID-19 Emergency’ (Verfassungsblog, 22 May 2020) &lt;https://verfassungsblog.de/slovakia-change-of-government-under-covid-19-emergency/&gt;.","noteIndex":43},"citationItems":[{"id":3770,"uris":["http://zotero.org/users/2073125/items/A2UW3WL9"],"itemData":{"id":3770,"type":"post-weblog","abstract":"At the time when Italy was trying to contain the COVID-19 outbreak in the northern region of Lombardy, politics in Slovakia were in the middle of a heated campaign in the run-up to","container-title":"Verfassungsblog","language":"EN","title":"Slovakia: Change of Government under COVID-19 Emergency","title-short":"Slovakia","URL":"https://verfassungsblog.de/slovakia-change-of-government-under-covid-19-emergency/","author":[{"family":"Henčeková","given":"Slavomíra"},{"family":"Drugda","given":"Šimon"}],"issued":{"date-parts":[["2020",5,22]]}}}],"schema":"https://github.com/citation-style-language/schema/raw/master/csl-citation.json"} </w:instrText>
      </w:r>
      <w:r w:rsidRPr="00752C15">
        <w:rPr>
          <w:rFonts w:ascii="Times New Roman" w:hAnsi="Times New Roman" w:cs="Times New Roman"/>
        </w:rPr>
        <w:fldChar w:fldCharType="separate"/>
      </w:r>
      <w:r w:rsidR="00A6766F" w:rsidRPr="00752C15">
        <w:rPr>
          <w:rFonts w:ascii="Times New Roman" w:hAnsi="Times New Roman" w:cs="Times New Roman"/>
        </w:rPr>
        <w:t>Slavomíra Henčeková and Šimon Drugda, ‘Slovakia: Change of Government under COVID-19 Emergency’ (</w:t>
      </w:r>
      <w:r w:rsidR="00A6766F" w:rsidRPr="00752C15">
        <w:rPr>
          <w:rFonts w:ascii="Times New Roman" w:hAnsi="Times New Roman" w:cs="Times New Roman"/>
          <w:i/>
          <w:iCs/>
        </w:rPr>
        <w:t>Verfassungsblog</w:t>
      </w:r>
      <w:r w:rsidR="00A6766F" w:rsidRPr="00752C15">
        <w:rPr>
          <w:rFonts w:ascii="Times New Roman" w:hAnsi="Times New Roman" w:cs="Times New Roman"/>
        </w:rPr>
        <w:t>, 22 May 2020) &lt;https://verfassungsblog.de/slovakia-change-of-government-under-covid-19-emergency/&gt;.</w:t>
      </w:r>
      <w:r w:rsidRPr="00752C15">
        <w:rPr>
          <w:rFonts w:ascii="Times New Roman" w:hAnsi="Times New Roman" w:cs="Times New Roman"/>
        </w:rPr>
        <w:fldChar w:fldCharType="end"/>
      </w:r>
    </w:p>
  </w:footnote>
  <w:footnote w:id="45">
    <w:p w14:paraId="55BAD8F2" w14:textId="5CC81A60" w:rsidR="00647131" w:rsidRPr="00752C15" w:rsidRDefault="00647131" w:rsidP="00752C15">
      <w:pPr>
        <w:pStyle w:val="FootnoteText"/>
        <w:jc w:val="both"/>
        <w:rPr>
          <w:rFonts w:ascii="Times New Roman" w:hAnsi="Times New Roman" w:cs="Times New Roman"/>
          <w:lang w:val="sk-SK"/>
        </w:rPr>
      </w:pPr>
      <w:r w:rsidRPr="00DC52BD">
        <w:rPr>
          <w:rStyle w:val="FootnoteReference"/>
        </w:rPr>
        <w:footnoteRef/>
      </w:r>
      <w:r w:rsidRPr="00752C15">
        <w:rPr>
          <w:rFonts w:ascii="Times New Roman" w:hAnsi="Times New Roman" w:cs="Times New Roman"/>
        </w:rPr>
        <w:t xml:space="preserve"> </w:t>
      </w:r>
      <w:r w:rsidRPr="00752C15">
        <w:rPr>
          <w:rFonts w:ascii="Times New Roman" w:hAnsi="Times New Roman" w:cs="Times New Roman"/>
        </w:rPr>
        <w:fldChar w:fldCharType="begin"/>
      </w:r>
      <w:r w:rsidR="003F255E" w:rsidRPr="00752C15">
        <w:rPr>
          <w:rFonts w:ascii="Times New Roman" w:hAnsi="Times New Roman" w:cs="Times New Roman"/>
        </w:rPr>
        <w:instrText xml:space="preserve"> ADDIN ZOTERO_ITEM CSL_CITATION {"citationID":"qe2vb5Ds","properties":{"formattedCitation":"Marcin Orzechowski, Maximilian Schochow and Florian Steger, \\uc0\\u8216{}Balancing Public Health and Civil Liberties in Times of Pandemic\\uc0\\u8217{} (2021) 42 Journal of Public Health Policy 145; Gy\\uc0\\u246{}rgy Hajnal, Iga Jeziorska and \\uc0\\u201{}va Margit Kov\\uc0\\u225{}cs, \\uc0\\u8216{}Understanding Drivers of Illiberal Entrenchment at Critical Junctures: Institutional Responses to COVID-19 in Hungary and Poland\\uc0\\u8217{} (2021) 87 International Review of Administrative Sciences 612; Giuliano Bobba and Nicolas Hub\\uc0\\u233{} (eds), {\\i{}Populism and the Politicization of the COVID-19 Crisis in Europe} (Palgrave Macmillan 2021) Chapters 7, 9.","plainCitation":"Marcin Orzechowski, Maximilian Schochow and Florian Steger, ‘Balancing Public Health and Civil Liberties in Times of Pandemic’ (2021) 42 Journal of Public Health Policy 145; György Hajnal, Iga Jeziorska and Éva Margit Kovács, ‘Understanding Drivers of Illiberal Entrenchment at Critical Junctures: Institutional Responses to COVID-19 in Hungary and Poland’ (2021) 87 International Review of Administrative Sciences 612; Giuliano Bobba and Nicolas Hubé (eds), Populism and the Politicization of the COVID-19 Crisis in Europe (Palgrave Macmillan 2021) Chapters 7, 9.","noteIndex":44},"citationItems":[{"id":10730,"uris":["http://zotero.org/users/2073125/items/GB438RMR"],"itemData":{"id":10730,"type":"article-journal","abstract":"The ongoing COVID-19 pandemic constitutes not only a danger for public health, but may also threaten civil liberties. Looking at the examples of recent events in Poland and Hungary, the authors argue that governments may misuse pandemic for their political advantage, thus endangering public health. Political decisions taken to stem the spread of pandemics should be limited and strictly proportionate to the situation.","container-title":"Journal of Public Health Policy","DOI":"10.1057/s41271-020-00261-y","ISSN":"1745-655X","issue":"1","journalAbbreviation":"J Public Health Pol","language":"en","page":"145-153","source":"Springer Link","title":"Balancing public health and civil liberties in times of pandemic","volume":"42","author":[{"family":"Orzechowski","given":"Marcin"},{"family":"Schochow","given":"Maximilian"},{"family":"Steger","given":"Florian"}],"issued":{"date-parts":[["2021",3,1]]}}},{"id":4272,"uris":["http://zotero.org/users/2073125/items/2AI5K2DD"],"itemData":{"id":4272,"type":"article-journal","abstract":"The present article aims to improve understanding of institution formation in (former) liberal-democratic polities characterized by autocratization tendencies. We examine how the critical juncture created by the COVID-19 pandemic was used, as well as the interplay between antecedent, structural conditions and the particular combinations of political agency and contingency. By comparing the two similar cases of Hungary and Poland – the two European Union countries that have progressed the farthest towards illiberal transformation – and using documentary and interview evidence, we conclude that: (1) whereas Hungary exhibited significant institutional changes, Poland did not; (2) these differences in institutional outcomes can be significantly attributed to differences in certain critical antecedent conditions; and (3) the ability of key political actors – Hungary’s Viktor Orbán and Poland’s Jarosław Kaczyński – to control their own political camp seems to have exerted an unmistakable effect as well., Points for practitioners, The build-up and entrenchment of institutions of illiberal rule in (previously) liberal-democratic contexts are encumbered by diverse political and institutional constraints. External shocks, such as the COVID-19 crisis, may offer an opportunity to bypass those constraints and to change institutions permanently. Our study concludes that the extent to which such historical windows of opportunity can indeed be used to achieve lasting institutional changes depends not only on the objective, historically given political and institutional constraints that illiberal reforms face, but also on their subjective ability to act in a controlled, coordinated and coherent manner.","container-title":"International Review of Administrative Sciences","DOI":"10.1177/0020852320981138","ISSN":"0020-8523","issue":"3","journalAbbreviation":"International Review of Administrative Sciences","language":"en","note":"publisher: SAGE Publications Ltd","page":"612-630","source":"SAGE Journals","title":"Understanding drivers of illiberal entrenchment at critical junctures: institutional responses to COVID-19 in Hungary and Poland","title-short":"Understanding drivers of illiberal entrenchment at critical junctures","volume":"87","author":[{"family":"Hajnal","given":"György"},{"family":"Jeziorska","given":"Iga"},{"family":"Kovács","given":"Éva Margit"}],"issued":{"date-parts":[["2021",9,1]]}}},{"id":4132,"uris":["http://zotero.org/users/2073125/items/UFC9NIHW"],"itemData":{"id":4132,"type":"book","abstract":"This edited book provides a first overview of how populist parties responded to the COVID-19 pandemic crisis in Europe.","event-place":"Basingstoke","language":"en","publisher":"Palgrave Macmillan","publisher-place":"Basingstoke","source":"link.springer.com","title":"Populism and the Politicization of the COVID-19 Crisis in Europe","editor":[{"family":"Bobba","given":"Giuliano"},{"family":"Hubé","given":"Nicolas"}],"issued":{"date-parts":[["2021"]]}},"locator":"Chapters 7, 9","label":"page"}],"schema":"https://github.com/citation-style-language/schema/raw/master/csl-citation.json"} </w:instrText>
      </w:r>
      <w:r w:rsidRPr="00752C15">
        <w:rPr>
          <w:rFonts w:ascii="Times New Roman" w:hAnsi="Times New Roman" w:cs="Times New Roman"/>
        </w:rPr>
        <w:fldChar w:fldCharType="separate"/>
      </w:r>
      <w:r w:rsidR="00711D62" w:rsidRPr="00752C15">
        <w:rPr>
          <w:rFonts w:ascii="Times New Roman" w:hAnsi="Times New Roman" w:cs="Times New Roman"/>
        </w:rPr>
        <w:t xml:space="preserve">Marcin Orzechowski, Maximilian Schochow and Florian Steger, ‘Balancing Public Health and Civil Liberties in Times of Pandemic’ (2021) 42 Journal of Public Health Policy 145; György Hajnal, Iga Jeziorska and Éva Margit Kovács, ‘Understanding Drivers of Illiberal Entrenchment at Critical Junctures: Institutional Responses to COVID-19 in Hungary and Poland’ (2021) 87 International Review of Administrative Sciences 612; Giuliano Bobba and Nicolas Hubé (eds), </w:t>
      </w:r>
      <w:r w:rsidR="00711D62" w:rsidRPr="00752C15">
        <w:rPr>
          <w:rFonts w:ascii="Times New Roman" w:hAnsi="Times New Roman" w:cs="Times New Roman"/>
          <w:i/>
          <w:iCs/>
        </w:rPr>
        <w:t>Populism and the Politicization of the COVID-19 Crisis in Europe</w:t>
      </w:r>
      <w:r w:rsidR="00711D62" w:rsidRPr="00752C15">
        <w:rPr>
          <w:rFonts w:ascii="Times New Roman" w:hAnsi="Times New Roman" w:cs="Times New Roman"/>
        </w:rPr>
        <w:t xml:space="preserve"> (Palgrave Macmillan 2021) Chapters 7, 9.</w:t>
      </w:r>
      <w:r w:rsidRPr="00752C15">
        <w:rPr>
          <w:rFonts w:ascii="Times New Roman" w:hAnsi="Times New Roman" w:cs="Times New Roman"/>
        </w:rPr>
        <w:fldChar w:fldCharType="end"/>
      </w:r>
    </w:p>
  </w:footnote>
  <w:footnote w:id="46">
    <w:p w14:paraId="1FB8380A" w14:textId="6F08D045" w:rsidR="00CF04CF" w:rsidRPr="00752C15" w:rsidRDefault="00CF04CF" w:rsidP="00752C15">
      <w:pPr>
        <w:pStyle w:val="FootnoteText"/>
        <w:jc w:val="both"/>
        <w:rPr>
          <w:rFonts w:ascii="Times New Roman" w:hAnsi="Times New Roman" w:cs="Times New Roman"/>
        </w:rPr>
      </w:pPr>
      <w:r w:rsidRPr="00DC52BD">
        <w:rPr>
          <w:rStyle w:val="FootnoteReference"/>
        </w:rPr>
        <w:footnoteRef/>
      </w:r>
      <w:r w:rsidRPr="00752C15">
        <w:rPr>
          <w:rFonts w:ascii="Times New Roman" w:hAnsi="Times New Roman" w:cs="Times New Roman"/>
        </w:rPr>
        <w:t xml:space="preserve"> </w:t>
      </w:r>
      <w:r w:rsidRPr="00752C15">
        <w:rPr>
          <w:rFonts w:ascii="Times New Roman" w:hAnsi="Times New Roman" w:cs="Times New Roman"/>
          <w:lang w:val="en-IN"/>
        </w:rPr>
        <w:t xml:space="preserve">Constitutional Act on State Security at the Time of War, State of War, State of Exception, and State of Emergency No. 227/2002 Coll. </w:t>
      </w:r>
    </w:p>
  </w:footnote>
  <w:footnote w:id="47">
    <w:p w14:paraId="017CE496" w14:textId="2742A618" w:rsidR="00C245E0" w:rsidRPr="00752C15" w:rsidRDefault="00C245E0" w:rsidP="00752C15">
      <w:pPr>
        <w:pStyle w:val="FootnoteText"/>
        <w:jc w:val="both"/>
        <w:rPr>
          <w:rFonts w:ascii="Times New Roman" w:hAnsi="Times New Roman" w:cs="Times New Roman"/>
        </w:rPr>
      </w:pPr>
      <w:r w:rsidRPr="00DC52BD">
        <w:rPr>
          <w:rStyle w:val="FootnoteReference"/>
        </w:rPr>
        <w:footnoteRef/>
      </w:r>
      <w:r w:rsidRPr="00752C15">
        <w:rPr>
          <w:rFonts w:ascii="Times New Roman" w:hAnsi="Times New Roman" w:cs="Times New Roman"/>
        </w:rPr>
        <w:t xml:space="preserve"> </w:t>
      </w:r>
      <w:r w:rsidRPr="00752C15">
        <w:rPr>
          <w:rFonts w:ascii="Times New Roman" w:hAnsi="Times New Roman" w:cs="Times New Roman"/>
          <w:color w:val="000000"/>
          <w:lang w:val="en-IN"/>
        </w:rPr>
        <w:t>Art. 5 sec. 2 of the Act.</w:t>
      </w:r>
    </w:p>
  </w:footnote>
  <w:footnote w:id="48">
    <w:p w14:paraId="0BAEDF6C" w14:textId="323B4DF7" w:rsidR="00E840BA" w:rsidRPr="00752C15" w:rsidRDefault="00E840BA" w:rsidP="00752C15">
      <w:pPr>
        <w:pStyle w:val="FootnoteText"/>
        <w:jc w:val="both"/>
        <w:rPr>
          <w:rFonts w:ascii="Times New Roman" w:hAnsi="Times New Roman" w:cs="Times New Roman"/>
        </w:rPr>
      </w:pPr>
      <w:r w:rsidRPr="00DC52BD">
        <w:rPr>
          <w:rStyle w:val="FootnoteReference"/>
        </w:rPr>
        <w:footnoteRef/>
      </w:r>
      <w:r w:rsidRPr="00752C15">
        <w:rPr>
          <w:rFonts w:ascii="Times New Roman" w:hAnsi="Times New Roman" w:cs="Times New Roman"/>
        </w:rPr>
        <w:t xml:space="preserve"> Art. 129 sec. 6 of the Constitution. </w:t>
      </w:r>
    </w:p>
  </w:footnote>
  <w:footnote w:id="49">
    <w:p w14:paraId="391C2DFB" w14:textId="2C595F85" w:rsidR="002813B9" w:rsidRPr="00752C15" w:rsidRDefault="002813B9" w:rsidP="00752C15">
      <w:pPr>
        <w:pStyle w:val="FootnoteText"/>
        <w:jc w:val="both"/>
        <w:rPr>
          <w:rFonts w:ascii="Times New Roman" w:hAnsi="Times New Roman" w:cs="Times New Roman"/>
        </w:rPr>
      </w:pPr>
      <w:r w:rsidRPr="00DC52BD">
        <w:rPr>
          <w:rStyle w:val="FootnoteReference"/>
        </w:rPr>
        <w:footnoteRef/>
      </w:r>
      <w:r w:rsidRPr="00752C15">
        <w:rPr>
          <w:rFonts w:ascii="Times New Roman" w:hAnsi="Times New Roman" w:cs="Times New Roman"/>
        </w:rPr>
        <w:t xml:space="preserve"> </w:t>
      </w:r>
      <w:r w:rsidRPr="00752C15">
        <w:rPr>
          <w:rFonts w:ascii="Times New Roman" w:hAnsi="Times New Roman" w:cs="Times New Roman"/>
        </w:rPr>
        <w:fldChar w:fldCharType="begin"/>
      </w:r>
      <w:r w:rsidR="003F255E" w:rsidRPr="00752C15">
        <w:rPr>
          <w:rFonts w:ascii="Times New Roman" w:hAnsi="Times New Roman" w:cs="Times New Roman"/>
        </w:rPr>
        <w:instrText xml:space="preserve"> ADDIN ZOTERO_ITEM CSL_CITATION {"citationID":"voPurUhw","properties":{"formattedCitation":"Max Steuer, \\uc0\\u8216{}The Extreme Right as a Defender of Human Rights? Parliamentary Debates on COVID-19 Emergency Legislation in Slovakia\\uc0\\u8217{} (2022) 11 Laws 17.","plainCitation":"Max Steuer, ‘The Extreme Right as a Defender of Human Rights? Parliamentary Debates on COVID-19 Emergency Legislation in Slovakia’ (2022) 11 Laws 17.","noteIndex":48},"citationItems":[{"id":4206,"uris":["http://zotero.org/users/2073125/items/BSZQC59S"],"itemData":{"id":4206,"type":"article-journal","abstract":"During the COVID-19 pandemic, the protection of public health became a political priority worldwide. Slovakia’s COVID-19 response was initially praised as a global success. However, major rights restrictions were introduced in spring 2020, with some of these endorsed by the parliament. This article uses = Rossiter’s and Schmitt’s concepts of the exception and Agamben’s distinction between life and survival to highlight the risks pertaining to the framing of the protection of public health as contradictory to human rights guarantees. It investigates how human rights were discussed by Slovak parliamentarians in relation to key legislation, that introduced a COVID-19 contact tracing app and allowed repeated prolongation of health emergencies by the executive with parliamentary approval. The findings indicate that democratic parliamentarians prioritized public health considerations framed in terms of security and effectiveness rather than rights, dissociating biological survival from political life. In contrast, extreme political actors became outspoken critics of emergencies, referring to human rights. As such, the deliberations represent a missed opportunity by democratic legislators to justify public health protection via a human rights lens and risk undermining democracy in Slovakia.","container-title":"Laws","DOI":"10.3390/laws11020017","ISSN":"2075-471X","issue":"2","language":"en","license":"http://creativecommons.org/licenses/by/3.0/","note":"number: 2\npublisher: Multidisciplinary Digital Publishing Institute","page":"17","source":"www.mdpi.com","title":"The Extreme Right as a Defender of Human Rights? Parliamentary Debates on COVID-19 Emergency Legislation in Slovakia","title-short":"The Extreme Right as a Defender of Human Rights?","volume":"11","author":[{"family":"Steuer","given":"Max"}],"issued":{"date-parts":[["2022",4]]}}}],"schema":"https://github.com/citation-style-language/schema/raw/master/csl-citation.json"} </w:instrText>
      </w:r>
      <w:r w:rsidRPr="00752C15">
        <w:rPr>
          <w:rFonts w:ascii="Times New Roman" w:hAnsi="Times New Roman" w:cs="Times New Roman"/>
        </w:rPr>
        <w:fldChar w:fldCharType="separate"/>
      </w:r>
      <w:r w:rsidR="00BF3BC4" w:rsidRPr="00752C15">
        <w:rPr>
          <w:rFonts w:ascii="Times New Roman" w:hAnsi="Times New Roman" w:cs="Times New Roman"/>
        </w:rPr>
        <w:t>Max Steuer, ‘The Extreme Right as a Defender of Human Rights? Parliamentary Debates on COVID-19 Emergency Legislation in Slovakia’ (2022) 11 Laws 17.</w:t>
      </w:r>
      <w:r w:rsidRPr="00752C15">
        <w:rPr>
          <w:rFonts w:ascii="Times New Roman" w:hAnsi="Times New Roman" w:cs="Times New Roman"/>
        </w:rPr>
        <w:fldChar w:fldCharType="end"/>
      </w:r>
    </w:p>
  </w:footnote>
  <w:footnote w:id="50">
    <w:p w14:paraId="0D17A3DA" w14:textId="311434A3" w:rsidR="00226161" w:rsidRPr="00752C15" w:rsidRDefault="00226161" w:rsidP="00752C15">
      <w:pPr>
        <w:pStyle w:val="FootnoteText"/>
        <w:jc w:val="both"/>
        <w:rPr>
          <w:rFonts w:ascii="Times New Roman" w:hAnsi="Times New Roman" w:cs="Times New Roman"/>
          <w:lang w:val="en-IN"/>
        </w:rPr>
      </w:pPr>
      <w:r w:rsidRPr="00DC52BD">
        <w:rPr>
          <w:rStyle w:val="FootnoteReference"/>
        </w:rPr>
        <w:footnoteRef/>
      </w:r>
      <w:r w:rsidRPr="00752C15">
        <w:rPr>
          <w:rFonts w:ascii="Times New Roman" w:hAnsi="Times New Roman" w:cs="Times New Roman"/>
        </w:rPr>
        <w:t xml:space="preserve"> </w:t>
      </w:r>
      <w:r w:rsidRPr="00752C15">
        <w:rPr>
          <w:rFonts w:ascii="Times New Roman" w:hAnsi="Times New Roman" w:cs="Times New Roman"/>
          <w:lang w:val="sk-SK"/>
        </w:rPr>
        <w:t>PL. ÚS 4/2021</w:t>
      </w:r>
      <w:r w:rsidR="00495CA4" w:rsidRPr="00752C15">
        <w:rPr>
          <w:rFonts w:ascii="Times New Roman" w:hAnsi="Times New Roman" w:cs="Times New Roman"/>
          <w:lang w:val="sk-SK"/>
        </w:rPr>
        <w:t xml:space="preserve"> (8.12.2021). </w:t>
      </w:r>
      <w:r w:rsidR="00495CA4" w:rsidRPr="00752C15">
        <w:rPr>
          <w:rFonts w:ascii="Times New Roman" w:hAnsi="Times New Roman" w:cs="Times New Roman"/>
          <w:lang w:val="en-US"/>
        </w:rPr>
        <w:t>‘[…] isolation outside home environment (in a healthcare facility or other designated facility</w:t>
      </w:r>
      <w:r w:rsidR="001247C6" w:rsidRPr="00752C15">
        <w:rPr>
          <w:rFonts w:ascii="Times New Roman" w:hAnsi="Times New Roman" w:cs="Times New Roman"/>
          <w:lang w:val="en-US"/>
        </w:rPr>
        <w:t>)</w:t>
      </w:r>
      <w:r w:rsidR="00495CA4" w:rsidRPr="00752C15">
        <w:rPr>
          <w:rFonts w:ascii="Times New Roman" w:hAnsi="Times New Roman" w:cs="Times New Roman"/>
          <w:lang w:val="en-US"/>
        </w:rPr>
        <w:t xml:space="preserve"> amounts to deprivation of personal freedom’ </w:t>
      </w:r>
      <w:r w:rsidR="00495CA4" w:rsidRPr="00752C15">
        <w:rPr>
          <w:rFonts w:ascii="Times New Roman" w:hAnsi="Times New Roman" w:cs="Times New Roman"/>
          <w:lang w:val="sk-SK"/>
        </w:rPr>
        <w:t xml:space="preserve">(sec. 182). </w:t>
      </w:r>
    </w:p>
  </w:footnote>
  <w:footnote w:id="51">
    <w:p w14:paraId="364E6D88" w14:textId="44792739" w:rsidR="00A10DD1" w:rsidRPr="00752C15" w:rsidRDefault="00A10DD1" w:rsidP="00752C15">
      <w:pPr>
        <w:pStyle w:val="FootnoteText"/>
        <w:jc w:val="both"/>
        <w:rPr>
          <w:rFonts w:ascii="Times New Roman" w:hAnsi="Times New Roman" w:cs="Times New Roman"/>
        </w:rPr>
      </w:pPr>
      <w:r w:rsidRPr="00DC52BD">
        <w:rPr>
          <w:rStyle w:val="FootnoteReference"/>
        </w:rPr>
        <w:footnoteRef/>
      </w:r>
      <w:r w:rsidRPr="00752C15">
        <w:rPr>
          <w:rFonts w:ascii="Times New Roman" w:hAnsi="Times New Roman" w:cs="Times New Roman"/>
        </w:rPr>
        <w:t xml:space="preserve"> </w:t>
      </w:r>
      <w:r w:rsidRPr="00752C15">
        <w:rPr>
          <w:rFonts w:ascii="Times New Roman" w:hAnsi="Times New Roman" w:cs="Times New Roman"/>
          <w:lang w:val="en-US"/>
        </w:rPr>
        <w:t xml:space="preserve">See </w:t>
      </w:r>
      <w:r w:rsidRPr="00752C15">
        <w:rPr>
          <w:rFonts w:ascii="Times New Roman" w:hAnsi="Times New Roman" w:cs="Times New Roman"/>
        </w:rPr>
        <w:fldChar w:fldCharType="begin"/>
      </w:r>
      <w:r w:rsidR="003F255E" w:rsidRPr="00752C15">
        <w:rPr>
          <w:rFonts w:ascii="Times New Roman" w:hAnsi="Times New Roman" w:cs="Times New Roman"/>
        </w:rPr>
        <w:instrText xml:space="preserve"> ADDIN ZOTERO_ITEM CSL_CITATION {"citationID":"X3M7NEyP","properties":{"formattedCitation":"Juraj Nemec, Ivan Maly and Tatiana Chubarova, \\uc0\\u8216{}Policy Responses to the COVID-19 Pandemic and Potential Outcomes in Central and Eastern Europe: Comparing the Czech Republic, the Russian Federation, and the Slovak Republic\\uc0\\u8217{} (2021) 23 Journal of Comparative Policy Analysis: Research and Practice 282.","plainCitation":"Juraj Nemec, Ivan Maly and Tatiana Chubarova, ‘Policy Responses to the COVID-19 Pandemic and Potential Outcomes in Central and Eastern Europe: Comparing the Czech Republic, the Russian Federation, and the Slovak Republic’ (2021) 23 Journal of Comparative Policy Analysis: Research and Practice 282.","noteIndex":50},"citationItems":[{"id":3780,"uris":["http://zotero.org/users/2073125/items/ACNJWWEM"],"itemData":{"id":3780,"type":"article-journal","abstract":"This article compares policy responses to the COVID-19 pandemic and their probable results in three countries: the Czech Republic, the Russian Federation, and the Slovak Republic. The article is based on a multiple case study method. It confirms that in the three countries studied, the timing of policy responses and the success in motivating compliance represent important critical factors in containing the pandemic. It discusses the innovative experiment with nationwide blanket testing in Slovakia and suggests that antigen testing should not be the single and independent policy tool to combat the pandemic.","container-title":"Journal of Comparative Policy Analysis: Research and Practice","DOI":"10.1080/13876988.2021.1878884","ISSN":"1387-6988","issue":"2","note":"publisher: Routledge\n_eprint: https://doi.org/10.1080/13876988.2021.1878884","page":"282-290","source":"Taylor and Francis+NEJM","title":"Policy Responses to the COVID-19 Pandemic and Potential Outcomes in Central and Eastern Europe: Comparing the Czech Republic, the Russian Federation, and the Slovak Republic","title-short":"Policy Responses to the COVID-19 Pandemic and Potential Outcomes in Central and Eastern Europe","volume":"23","author":[{"family":"Nemec","given":"Juraj"},{"family":"Maly","given":"Ivan"},{"family":"Chubarova","given":"Tatiana"}],"issued":{"date-parts":[["2021",3,4]]}}}],"schema":"https://github.com/citation-style-language/schema/raw/master/csl-citation.json"} </w:instrText>
      </w:r>
      <w:r w:rsidRPr="00752C15">
        <w:rPr>
          <w:rFonts w:ascii="Times New Roman" w:hAnsi="Times New Roman" w:cs="Times New Roman"/>
        </w:rPr>
        <w:fldChar w:fldCharType="separate"/>
      </w:r>
      <w:r w:rsidRPr="00752C15">
        <w:rPr>
          <w:rFonts w:ascii="Times New Roman" w:hAnsi="Times New Roman" w:cs="Times New Roman"/>
        </w:rPr>
        <w:t>Juraj Nemec, Ivan Maly and Tatiana Chubarova, ‘Policy Responses to the COVID-19 Pandemic and Potential Outcomes in Central and Eastern Europe: Comparing the Czech Republic, the Russian Federation, and the Slovak Republic’ (2021) 23 Journal of Comparative Policy Analysis: Research and Practice 282.</w:t>
      </w:r>
      <w:r w:rsidRPr="00752C15">
        <w:rPr>
          <w:rFonts w:ascii="Times New Roman" w:hAnsi="Times New Roman" w:cs="Times New Roman"/>
        </w:rPr>
        <w:fldChar w:fldCharType="end"/>
      </w:r>
    </w:p>
  </w:footnote>
  <w:footnote w:id="52">
    <w:p w14:paraId="7A611576" w14:textId="420109E4" w:rsidR="00911A98" w:rsidRPr="00752C15" w:rsidRDefault="00911A98" w:rsidP="00752C15">
      <w:pPr>
        <w:pStyle w:val="FootnoteText"/>
        <w:jc w:val="both"/>
        <w:rPr>
          <w:rFonts w:ascii="Times New Roman" w:hAnsi="Times New Roman" w:cs="Times New Roman"/>
        </w:rPr>
      </w:pPr>
      <w:r w:rsidRPr="00DC52BD">
        <w:rPr>
          <w:rStyle w:val="FootnoteReference"/>
        </w:rPr>
        <w:footnoteRef/>
      </w:r>
      <w:r w:rsidRPr="00752C15">
        <w:rPr>
          <w:rFonts w:ascii="Times New Roman" w:hAnsi="Times New Roman" w:cs="Times New Roman"/>
        </w:rPr>
        <w:t xml:space="preserve"> </w:t>
      </w:r>
      <w:r w:rsidRPr="00752C15">
        <w:rPr>
          <w:rFonts w:ascii="Times New Roman" w:hAnsi="Times New Roman" w:cs="Times New Roman"/>
        </w:rPr>
        <w:fldChar w:fldCharType="begin"/>
      </w:r>
      <w:r w:rsidR="00F40933" w:rsidRPr="00752C15">
        <w:rPr>
          <w:rFonts w:ascii="Times New Roman" w:hAnsi="Times New Roman" w:cs="Times New Roman"/>
        </w:rPr>
        <w:instrText xml:space="preserve"> ADDIN ZOTERO_ITEM CSL_CITATION {"citationID":"rIbHKP79","properties":{"formattedCitation":"Johnston HC Wong, \\uc0\\u8216{}Government Emergency Responses During the COVID-19 Pandemic in the Context of Health Emergency and Disaster Risk Management: A\\uc0\\u160{}Comparative Study\\uc0\\u8217{} in Simon XB Zhao and others (eds), {\\i{}COVID-19 Pandemic, Crisis Responses and the Changing World: Perspectives in Humanities and Social Sciences} (Springer 2021).","plainCitation":"Johnston HC Wong, ‘Government Emergency Responses During the COVID-19 Pandemic in the Context of Health Emergency and Disaster Risk Management: A Comparative Study’ in Simon XB Zhao and others (eds), COVID-19 Pandemic, Crisis Responses and the Changing World: Perspectives in Humanities and Social Sciences (Springer 2021).","noteIndex":51},"citationItems":[{"id":10804,"uris":["http://zotero.org/users/2073125/items/EWKNVNLS"],"itemData":{"id":10804,"type":"chapter","abstract":"On January 23, 2020 China responded to the first wave of COVID-19 by locking down the city of Wuhan, a city of more than 10 million residents. The National Health Commission of China (CNHC 23 January 2020) reported 571 confirmed cases of COVID 19 patients, 19 seriously ill and 17 deaths in Wuhan on January 22. The number of confirmed cases exploded between January 20 and February 6 and reached 32,583 with its peak on February 1. Centralized quarantine and treatment were found effective in leveling the curve of daily confirmed cases, although universal testing was not begun until February 17.","container-title":"COVID-19 Pandemic, Crisis Responses and the Changing World: Perspectives in Humanities and Social Sciences","event-place":"Singapore","ISBN":"9789811624308","language":"en","note":"DOI: 10.1007/978-981-16-2430-8_7","page":"103-133","publisher":"Springer","publisher-place":"Singapore","source":"Springer Link","title":"Government Emergency Responses During the COVID-19 Pandemic in the Context of Health Emergency and Disaster Risk Management: A Comparative Study","title-short":"Government Emergency Responses During the COVID-19 Pandemic in the Context of Health Emergency and Disaster Risk Management","author":[{"family":"Wong","given":"Johnston H.C."}],"editor":[{"family":"Zhao","given":"Simon X.B."},{"family":"Wong","given":"Johnston H.C."},{"family":"Lowe","given":"Charles"},{"family":"Monaco","given":"Edoardo"},{"family":"Corbett","given":"John"}],"issued":{"date-parts":[["2021"]]}},"label":"page"}],"schema":"https://github.com/citation-style-language/schema/raw/master/csl-citation.json"} </w:instrText>
      </w:r>
      <w:r w:rsidRPr="00752C15">
        <w:rPr>
          <w:rFonts w:ascii="Times New Roman" w:hAnsi="Times New Roman" w:cs="Times New Roman"/>
        </w:rPr>
        <w:fldChar w:fldCharType="separate"/>
      </w:r>
      <w:r w:rsidR="00F40933" w:rsidRPr="00752C15">
        <w:rPr>
          <w:rFonts w:ascii="Times New Roman" w:hAnsi="Times New Roman" w:cs="Times New Roman"/>
        </w:rPr>
        <w:t xml:space="preserve">Johnston HC Wong, ‘Government Emergency Responses During the COVID-19 Pandemic in the Context of Health Emergency and Disaster Risk Management: A Comparative Study’ in Simon XB Zhao and others (eds), </w:t>
      </w:r>
      <w:r w:rsidR="00F40933" w:rsidRPr="00752C15">
        <w:rPr>
          <w:rFonts w:ascii="Times New Roman" w:hAnsi="Times New Roman" w:cs="Times New Roman"/>
          <w:i/>
          <w:iCs/>
        </w:rPr>
        <w:t>COVID-19 Pandemic, Crisis Responses and the Changing World: Perspectives in Humanities and Social Sciences</w:t>
      </w:r>
      <w:r w:rsidR="00F40933" w:rsidRPr="00752C15">
        <w:rPr>
          <w:rFonts w:ascii="Times New Roman" w:hAnsi="Times New Roman" w:cs="Times New Roman"/>
        </w:rPr>
        <w:t xml:space="preserve"> (Springer 2021).</w:t>
      </w:r>
      <w:r w:rsidRPr="00752C15">
        <w:rPr>
          <w:rFonts w:ascii="Times New Roman" w:hAnsi="Times New Roman" w:cs="Times New Roman"/>
        </w:rPr>
        <w:fldChar w:fldCharType="end"/>
      </w:r>
    </w:p>
  </w:footnote>
  <w:footnote w:id="53">
    <w:p w14:paraId="6F252348" w14:textId="2F87743C" w:rsidR="003E3D01" w:rsidRPr="00752C15" w:rsidRDefault="003E3D01" w:rsidP="00752C15">
      <w:pPr>
        <w:pStyle w:val="FootnoteText"/>
        <w:jc w:val="both"/>
        <w:rPr>
          <w:rFonts w:ascii="Times New Roman" w:hAnsi="Times New Roman" w:cs="Times New Roman"/>
          <w:lang w:val="sk-SK"/>
        </w:rPr>
      </w:pPr>
      <w:r w:rsidRPr="00DC52BD">
        <w:rPr>
          <w:rStyle w:val="FootnoteReference"/>
        </w:rPr>
        <w:footnoteRef/>
      </w:r>
      <w:r w:rsidRPr="00752C15">
        <w:rPr>
          <w:rFonts w:ascii="Times New Roman" w:hAnsi="Times New Roman" w:cs="Times New Roman"/>
        </w:rPr>
        <w:t xml:space="preserve"> </w:t>
      </w:r>
      <w:r w:rsidRPr="00752C15">
        <w:rPr>
          <w:rFonts w:ascii="Times New Roman" w:hAnsi="Times New Roman" w:cs="Times New Roman"/>
        </w:rPr>
        <w:fldChar w:fldCharType="begin"/>
      </w:r>
      <w:r w:rsidR="003F255E" w:rsidRPr="00752C15">
        <w:rPr>
          <w:rFonts w:ascii="Times New Roman" w:hAnsi="Times New Roman" w:cs="Times New Roman"/>
        </w:rPr>
        <w:instrText xml:space="preserve"> ADDIN ZOTERO_ITEM CSL_CITATION {"citationID":"Y7o4ReoL","properties":{"formattedCitation":"See, for example, Luciano d\\uc0\\u8217{}Andrea and Andrea Declich, \\uc0\\u8216{}Covid-19 and Science: Italy and Late Modernity\\uc0\\u8217{} in Jan Nederveen Pieterse, Haeran Lim and Habibul Khondker (eds), {\\i{}Covid-19 and Governance: Crisis Reveals} (Routledge 2021).","plainCitation":"See, for example, Luciano d’Andrea and Andrea Declich, ‘Covid-19 and Science: Italy and Late Modernity’ in Jan Nederveen Pieterse, Haeran Lim and Habibul Khondker (eds), Covid-19 and Governance: Crisis Reveals (Routledge 2021).","noteIndex":52},"citationItems":[{"id":11785,"uris":["http://zotero.org/users/2073125/items/XFHCW8SS"],"itemData":{"id":11785,"type":"chapter","abstract":"Covid-19 and Governance focuses on the relationship between governance institutions and approaches to Covid-19 and health outcomes. Bringing together analyses of Covid-19 developments in countries and regions across the world with a wide-angle lens on governance, this volume asks: what works, what hasn’t and isn’t, and why?Organized by region, the book is structured to follow the spread of Covid-19 in the course of 2020, through Asia, the Middle East, Europe, the Americas, and Africa. The analyses explore a number of key themes, including public health systems, government capability, and trust in government—as well as underlying variables of social cohesion and inequality. This volume combines governance, policies, and politics to bring wide international scope and analytical depth to the study of the Covid-19 pandemic. Together the authors represent a diverse and formidable database of experience and understanding. They include sociologists, anthropologists, scholars of development studies and public administration, as well as MD specialists in public health and epidemiology. Engaged and free of jargon, this book speaks to a wide global public—including scholars, students, and policymakers—on a topic that has profound and broad appeal.","container-title":"Covid-19 and Governance: Crisis Reveals","event-place":"London","language":"English","page":"303-315","publisher":"Routledge","publisher-place":"London","source":"Amazon","title":"Covid-19 and science: Italy and late modernity","editor":[{"family":"Pieterse","given":"Jan Nederveen"},{"family":"Lim","given":"Haeran"},{"family":"Khondker","given":"Habibul"}],"author":[{"family":"Andrea","given":"Luciano","non-dropping-particle":"d’"},{"family":"Declich","given":"Andrea"}],"issued":{"date-parts":[["2021",6,10]]}},"label":"page","prefix":"See, for example,"}],"schema":"https://github.com/citation-style-language/schema/raw/master/csl-citation.json"} </w:instrText>
      </w:r>
      <w:r w:rsidRPr="00752C15">
        <w:rPr>
          <w:rFonts w:ascii="Times New Roman" w:hAnsi="Times New Roman" w:cs="Times New Roman"/>
        </w:rPr>
        <w:fldChar w:fldCharType="separate"/>
      </w:r>
      <w:r w:rsidR="005860C5" w:rsidRPr="00752C15">
        <w:rPr>
          <w:rFonts w:ascii="Times New Roman" w:hAnsi="Times New Roman" w:cs="Times New Roman"/>
        </w:rPr>
        <w:t xml:space="preserve">See, for example, Luciano d’Andrea and Andrea Declich, ‘Covid-19 and Science: Italy and Late Modernity’ in Jan Nederveen Pieterse, Haeran Lim and Habibul Khondker (eds), </w:t>
      </w:r>
      <w:r w:rsidR="005860C5" w:rsidRPr="00752C15">
        <w:rPr>
          <w:rFonts w:ascii="Times New Roman" w:hAnsi="Times New Roman" w:cs="Times New Roman"/>
          <w:i/>
          <w:iCs/>
        </w:rPr>
        <w:t>Covid-19 and Governance: Crisis Reveals</w:t>
      </w:r>
      <w:r w:rsidR="005860C5" w:rsidRPr="00752C15">
        <w:rPr>
          <w:rFonts w:ascii="Times New Roman" w:hAnsi="Times New Roman" w:cs="Times New Roman"/>
        </w:rPr>
        <w:t xml:space="preserve"> (Routledge 2021).</w:t>
      </w:r>
      <w:r w:rsidRPr="00752C15">
        <w:rPr>
          <w:rFonts w:ascii="Times New Roman" w:hAnsi="Times New Roman" w:cs="Times New Roman"/>
        </w:rPr>
        <w:fldChar w:fldCharType="end"/>
      </w:r>
    </w:p>
  </w:footnote>
  <w:footnote w:id="54">
    <w:p w14:paraId="3D6593DB" w14:textId="4D1ED6AD" w:rsidR="0049119C" w:rsidRPr="00752C15" w:rsidRDefault="0049119C" w:rsidP="00752C15">
      <w:pPr>
        <w:pStyle w:val="FootnoteText"/>
        <w:jc w:val="both"/>
        <w:rPr>
          <w:rFonts w:ascii="Times New Roman" w:hAnsi="Times New Roman" w:cs="Times New Roman"/>
          <w:lang w:val="en-US"/>
        </w:rPr>
      </w:pPr>
      <w:r w:rsidRPr="00DC52BD">
        <w:rPr>
          <w:rStyle w:val="FootnoteReference"/>
        </w:rPr>
        <w:footnoteRef/>
      </w:r>
      <w:r w:rsidRPr="00752C15">
        <w:rPr>
          <w:rFonts w:ascii="Times New Roman" w:hAnsi="Times New Roman" w:cs="Times New Roman"/>
        </w:rPr>
        <w:t xml:space="preserve"> </w:t>
      </w:r>
      <w:r w:rsidRPr="00752C15">
        <w:rPr>
          <w:rFonts w:ascii="Times New Roman" w:hAnsi="Times New Roman" w:cs="Times New Roman"/>
        </w:rPr>
        <w:fldChar w:fldCharType="begin"/>
      </w:r>
      <w:r w:rsidR="003F255E" w:rsidRPr="00752C15">
        <w:rPr>
          <w:rFonts w:ascii="Times New Roman" w:hAnsi="Times New Roman" w:cs="Times New Roman"/>
        </w:rPr>
        <w:instrText xml:space="preserve"> ADDIN ZOTERO_ITEM CSL_CITATION {"citationID":"UcngM28w","properties":{"formattedCitation":"Max Steuer, \\uc0\\u8216{}Slovak Constitutionalism and the COVID-19 Pandemic: The Implications of State Panic\\uc0\\u8217{} ({\\i{}IACL-IADC Blog}, 9 April 2020) &lt;https://blog-iacl-aidc.org/2020-posts/2020/4/9/slovak-constitutionalism-and-the-covid-19-pandemic-the-implications-of-state-panic&gt;.","plainCitation":"Max Steuer, ‘Slovak Constitutionalism and the COVID-19 Pandemic: The Implications of State Panic’ (IACL-IADC Blog, 9 April 2020) &lt;https://blog-iacl-aidc.org/2020-posts/2020/4/9/slovak-constitutionalism-and-the-covid-19-pandemic-the-implications-of-state-panic&gt;.","noteIndex":53},"citationItems":[{"id":3328,"uris":["http://zotero.org/users/2073125/items/IZIZ585U"],"itemData":{"id":3328,"type":"webpage","abstract":"Max STEUER  At first glance it might look like there is nothing special about the way Slovakia is handling the extraordinary situation of the past few weeks: it has declared a (limited) state of emergency, closed its borders and developed a series of other responses the effectiveness of which remain","container-title":"IACL-IADC Blog","language":"en-US","title":"Slovak Constitutionalism and the COVID-19 Pandemic: The Implications of State Panic","title-short":"Slovak Constitutionalism and the COVID-19 Pandemic","URL":"https://blog-iacl-aidc.org/2020-posts/2020/4/9/slovak-constitutionalism-and-the-covid-19-pandemic-the-implications-of-state-panic","author":[{"family":"Steuer","given":"Max"}],"issued":{"date-parts":[["2020",4,9]]}}}],"schema":"https://github.com/citation-style-language/schema/raw/master/csl-citation.json"} </w:instrText>
      </w:r>
      <w:r w:rsidRPr="00752C15">
        <w:rPr>
          <w:rFonts w:ascii="Times New Roman" w:hAnsi="Times New Roman" w:cs="Times New Roman"/>
        </w:rPr>
        <w:fldChar w:fldCharType="separate"/>
      </w:r>
      <w:r w:rsidR="007F21A9" w:rsidRPr="00752C15">
        <w:rPr>
          <w:rFonts w:ascii="Times New Roman" w:hAnsi="Times New Roman" w:cs="Times New Roman"/>
        </w:rPr>
        <w:t>Max Steuer, ‘Slovak Constitutionalism and the COVID-19 Pandemic: The Implications of State Panic’ (</w:t>
      </w:r>
      <w:r w:rsidR="007F21A9" w:rsidRPr="00752C15">
        <w:rPr>
          <w:rFonts w:ascii="Times New Roman" w:hAnsi="Times New Roman" w:cs="Times New Roman"/>
          <w:i/>
          <w:iCs/>
        </w:rPr>
        <w:t>IACL-IADC Blog</w:t>
      </w:r>
      <w:r w:rsidR="007F21A9" w:rsidRPr="00752C15">
        <w:rPr>
          <w:rFonts w:ascii="Times New Roman" w:hAnsi="Times New Roman" w:cs="Times New Roman"/>
        </w:rPr>
        <w:t>, 9 April 2020) &lt;https://blog-iacl-aidc.org/2020-posts/2020/4/9/slovak-constitutionalism-and-the-covid-19-pandemic-the-implications-of-state-panic&gt;.</w:t>
      </w:r>
      <w:r w:rsidRPr="00752C15">
        <w:rPr>
          <w:rFonts w:ascii="Times New Roman" w:hAnsi="Times New Roman" w:cs="Times New Roman"/>
        </w:rPr>
        <w:fldChar w:fldCharType="end"/>
      </w:r>
    </w:p>
  </w:footnote>
  <w:footnote w:id="55">
    <w:p w14:paraId="253EB80C" w14:textId="4965B6A3" w:rsidR="00101D3A" w:rsidRPr="00752C15" w:rsidRDefault="00101D3A" w:rsidP="00752C15">
      <w:pPr>
        <w:pStyle w:val="FootnoteText"/>
        <w:jc w:val="both"/>
        <w:rPr>
          <w:rFonts w:ascii="Times New Roman" w:hAnsi="Times New Roman" w:cs="Times New Roman"/>
          <w:lang w:val="sk-SK"/>
        </w:rPr>
      </w:pPr>
      <w:r w:rsidRPr="00DC52BD">
        <w:rPr>
          <w:rStyle w:val="FootnoteReference"/>
        </w:rPr>
        <w:footnoteRef/>
      </w:r>
      <w:r w:rsidRPr="00752C15">
        <w:rPr>
          <w:rFonts w:ascii="Times New Roman" w:hAnsi="Times New Roman" w:cs="Times New Roman"/>
        </w:rPr>
        <w:t xml:space="preserve"> </w:t>
      </w:r>
      <w:r w:rsidRPr="00752C15">
        <w:rPr>
          <w:rFonts w:ascii="Times New Roman" w:hAnsi="Times New Roman" w:cs="Times New Roman"/>
        </w:rPr>
        <w:fldChar w:fldCharType="begin"/>
      </w:r>
      <w:r w:rsidR="00DD1417" w:rsidRPr="00752C15">
        <w:rPr>
          <w:rFonts w:ascii="Times New Roman" w:hAnsi="Times New Roman" w:cs="Times New Roman"/>
        </w:rPr>
        <w:instrText xml:space="preserve"> ADDIN ZOTERO_ITEM CSL_CITATION {"citationID":"S0h4Ed3d","properties":{"formattedCitation":"Daniel Klimovsk\\uc0\\u253{}, Juraj Nemec and Geert Bouckaert, \\uc0\\u8216{}The COVID-19 Pandemic in the Czech Republic and Slovakia\\uc0\\u8217{} (2021) 29 Scientific Papers of the University of Pardubice, Series D: Faculty of Economics and Administration 1; Martin Kovani\\uc0\\u269{} and Max Steuer, \\uc0\\u8216{}Fighting against COVID-19: With or without Politics?\\uc0\\u8217{} (2023) 337 Social Science &amp; Medicine 116297, 3.","plainCitation":"Daniel Klimovský, Juraj Nemec and Geert Bouckaert, ‘The COVID-19 Pandemic in the Czech Republic and Slovakia’ (2021) 29 Scientific Papers of the University of Pardubice, Series D: Faculty of Economics and Administration 1; Martin Kovanič and Max Steuer, ‘Fighting against COVID-19: With or without Politics?’ (2023) 337 Social Science &amp; Medicine 116297, 3.","noteIndex":54},"citationItems":[{"id":10808,"uris":["http://zotero.org/users/2073125/items/GKA6YRJJ"],"itemData":{"id":10808,"type":"article-journal","abstract":"This special issue was envisaged to cover diverse scholarly contributions of an empirical nature that focus on various questions linked to the COVID-19 crisis in the Czech Republic and Slovakia. The choice of countries was intentional; after all, the Czech Republic and Slovakia both experienced controversial developments during 2020. The COVID-19 pandemic found them unprepared and inexperienced in the field of serious epidemics yet also saw them gain international recognition for the very positive results gained from their initial responses. The second half of 2020 provided a very different story. Both countries were hard hit by the epidemics immediately after the summer, and the situation worsened month by month. These negative developments escalated at the end of 2020 and in early 2021 when the number of new cases rapidly increased and the total number of patients at risk of dying began to exceed the capacities of public hospitals. This summary offers an overview of the research by authors included in this special issue. It compares their findings with the results of others in order to suggest a set of policy implications that are based on empirical analyses. There is also an attempt to estimate several avenues of further multi-disciplinary research focusing on the COVID-19 pandemic and relevant policy responses. Within this context, this special issue is useful for both researchers and policy makers.","container-title":"Scientific Papers of the University of Pardubice, Series D: Faculty of Economics and Administration","DOI":"10.46585/sp29011320","issue":"1","language":"en","license":"http://creativecommons.org/licenses/by/3.0/","note":"number: 1\npublisher: University of Pardubice","page":"1-12","source":"editorial.upce.cz","title":"The COVID-19 Pandemic in the Czech Republic and Slovakia","volume":"29","author":[{"family":"Klimovský","given":"Daniel"},{"family":"Nemec","given":"Juraj"},{"family":"Bouckaert","given":"Geert"}],"issued":{"date-parts":[["2021"]]}}},{"id":11958,"uris":["http://zotero.org/users/2073125/items/HHAEYKCN"],"itemData":{"id":11958,"type":"article-journal","abstract":"To respond to the COVID-19 pandemic, governments frequently resorted to declaring the state of emergency, fuelling contestations over the abuse of public powers and effectiveness of the measures to induce compliance. This article examines how the denial of the political nature of emergency governance known as depoliticisation undermines government credibility and may suit anti-democratic actors. We contribute to understanding the relationship between depoliticisation and democracy by showing how Slovak coalition parties during key parliamentary debates on the state of emergency during the COVID-19 pandemic insisted on depoliticising the pandemic while parliamentary opposition parties with anti-democratic leanings successfully opted for its repoliticisation. Repoliticising a key decision on managing the public health emergency granted credibility to illiberal political actors at the expense of the government, cautioning against depoliticisation strategies to be invoked by democrats in fragile democracies. Instead, accepting that such decisions are political may prevent the loss of credibility due to unsuccessful rhetorical practices of depoliticisation.","container-title":"Social Science &amp; Medicine","DOI":"10.1016/j.socscimed.2023.116297","ISSN":"0277-9536","journalAbbreviation":"Social Science &amp; Medicine","page":"116297","source":"ScienceDirect","title":"Fighting against COVID-19: With or without politics?","title-short":"Fighting against COVID-19","volume":"337","author":[{"family":"Kovanič","given":"Martin"},{"family":"Steuer","given":"Max"}],"issued":{"date-parts":[["2023",11,1]]}},"locator":"3","label":"page"}],"schema":"https://github.com/citation-style-language/schema/raw/master/csl-citation.json"} </w:instrText>
      </w:r>
      <w:r w:rsidRPr="00752C15">
        <w:rPr>
          <w:rFonts w:ascii="Times New Roman" w:hAnsi="Times New Roman" w:cs="Times New Roman"/>
        </w:rPr>
        <w:fldChar w:fldCharType="separate"/>
      </w:r>
      <w:r w:rsidR="00DD1417" w:rsidRPr="00752C15">
        <w:rPr>
          <w:rFonts w:ascii="Times New Roman" w:hAnsi="Times New Roman" w:cs="Times New Roman"/>
          <w:szCs w:val="24"/>
        </w:rPr>
        <w:t>Daniel Klimovský, Juraj Nemec and Geert Bouckaert, ‘The COVID-19 Pandemic in the Czech Republic and Slovakia’ (2021) 29 Scientific Papers of the University of Pardubice, Series D: Faculty of Economics and Administration 1; Martin Kovanič and Max Steuer, ‘Fighting against COVID-19: With or without Politics?’ (2023) 337 Social Science &amp; Medicine 116297, 3.</w:t>
      </w:r>
      <w:r w:rsidRPr="00752C15">
        <w:rPr>
          <w:rFonts w:ascii="Times New Roman" w:hAnsi="Times New Roman" w:cs="Times New Roman"/>
        </w:rPr>
        <w:fldChar w:fldCharType="end"/>
      </w:r>
    </w:p>
  </w:footnote>
  <w:footnote w:id="56">
    <w:p w14:paraId="062C09BE" w14:textId="20DEDBD0" w:rsidR="005338F8" w:rsidRPr="00752C15" w:rsidRDefault="005338F8" w:rsidP="00752C15">
      <w:pPr>
        <w:pStyle w:val="FootnoteText"/>
        <w:jc w:val="both"/>
        <w:rPr>
          <w:rFonts w:ascii="Times New Roman" w:hAnsi="Times New Roman" w:cs="Times New Roman"/>
          <w:lang w:val="en-US"/>
        </w:rPr>
      </w:pPr>
      <w:r w:rsidRPr="00DC52BD">
        <w:rPr>
          <w:rStyle w:val="FootnoteReference"/>
        </w:rPr>
        <w:footnoteRef/>
      </w:r>
      <w:r w:rsidRPr="00752C15">
        <w:rPr>
          <w:rFonts w:ascii="Times New Roman" w:hAnsi="Times New Roman" w:cs="Times New Roman"/>
        </w:rPr>
        <w:t xml:space="preserve"> </w:t>
      </w:r>
      <w:r w:rsidRPr="00752C15">
        <w:rPr>
          <w:rFonts w:ascii="Times New Roman" w:hAnsi="Times New Roman" w:cs="Times New Roman"/>
        </w:rPr>
        <w:fldChar w:fldCharType="begin"/>
      </w:r>
      <w:r w:rsidR="00843D1F" w:rsidRPr="00752C15">
        <w:rPr>
          <w:rFonts w:ascii="Times New Roman" w:hAnsi="Times New Roman" w:cs="Times New Roman"/>
        </w:rPr>
        <w:instrText xml:space="preserve"> ADDIN ZOTERO_ITEM CSL_CITATION {"citationID":"vuQ3WDnc","properties":{"formattedCitation":"Hen\\uc0\\u269{}ekov\\uc0\\u225{} and Drugda (n 43); Steuer, \\uc0\\u8216{}Slovak Constitutionalism and the COVID-19 Pandemic\\uc0\\u8217{} (n 53).","plainCitation":"Henčeková and Drugda (n 43); Steuer, ‘Slovak Constitutionalism and the COVID-19 Pandemic’ (n 53).","noteIndex":55},"citationItems":[{"id":3770,"uris":["http://zotero.org/users/2073125/items/A2UW3WL9"],"itemData":{"id":3770,"type":"post-weblog","abstract":"At the time when Italy was trying to contain the COVID-19 outbreak in the northern region of Lombardy, politics in Slovakia were in the middle of a heated campaign in the run-up to","container-title":"Verfassungsblog","language":"EN","title":"Slovakia: Change of Government under COVID-19 Emergency","title-short":"Slovakia","URL":"https://verfassungsblog.de/slovakia-change-of-government-under-covid-19-emergency/","author":[{"family":"Henčeková","given":"Slavomíra"},{"family":"Drugda","given":"Šimon"}],"issued":{"date-parts":[["2020",5,22]]}}},{"id":3328,"uris":["http://zotero.org/users/2073125/items/IZIZ585U"],"itemData":{"id":3328,"type":"webpage","abstract":"Max STEUER  At first glance it might look like there is nothing special about the way Slovakia is handling the extraordinary situation of the past few weeks: it has declared a (limited) state of emergency, closed its borders and developed a series of other responses the effectiveness of which remain","container-title":"IACL-IADC Blog","language":"en-US","title":"Slovak Constitutionalism and the COVID-19 Pandemic: The Implications of State Panic","title-short":"Slovak Constitutionalism and the COVID-19 Pandemic","URL":"https://blog-iacl-aidc.org/2020-posts/2020/4/9/slovak-constitutionalism-and-the-covid-19-pandemic-the-implications-of-state-panic","author":[{"family":"Steuer","given":"Max"}],"issued":{"date-parts":[["2020",4,9]]}}}],"schema":"https://github.com/citation-style-language/schema/raw/master/csl-citation.json"} </w:instrText>
      </w:r>
      <w:r w:rsidRPr="00752C15">
        <w:rPr>
          <w:rFonts w:ascii="Times New Roman" w:hAnsi="Times New Roman" w:cs="Times New Roman"/>
        </w:rPr>
        <w:fldChar w:fldCharType="separate"/>
      </w:r>
      <w:r w:rsidR="00843D1F" w:rsidRPr="00752C15">
        <w:rPr>
          <w:rFonts w:ascii="Times New Roman" w:hAnsi="Times New Roman" w:cs="Times New Roman"/>
          <w:szCs w:val="24"/>
        </w:rPr>
        <w:t>Henčeková and Drugda (n 43); Steuer, ‘Slovak Constitutionalism and the COVID-19 Pandemic’ (n 53).</w:t>
      </w:r>
      <w:r w:rsidRPr="00752C15">
        <w:rPr>
          <w:rFonts w:ascii="Times New Roman" w:hAnsi="Times New Roman" w:cs="Times New Roman"/>
        </w:rPr>
        <w:fldChar w:fldCharType="end"/>
      </w:r>
    </w:p>
  </w:footnote>
  <w:footnote w:id="57">
    <w:p w14:paraId="0648D7BB" w14:textId="216A9389" w:rsidR="00D72FB1" w:rsidRPr="00752C15" w:rsidRDefault="00D72FB1" w:rsidP="00752C15">
      <w:pPr>
        <w:pStyle w:val="FootnoteText"/>
        <w:jc w:val="both"/>
        <w:rPr>
          <w:rFonts w:ascii="Times New Roman" w:hAnsi="Times New Roman" w:cs="Times New Roman"/>
          <w:lang w:val="sk-SK"/>
        </w:rPr>
      </w:pPr>
      <w:r w:rsidRPr="00DC52BD">
        <w:rPr>
          <w:rStyle w:val="FootnoteReference"/>
        </w:rPr>
        <w:footnoteRef/>
      </w:r>
      <w:r w:rsidRPr="00752C15">
        <w:rPr>
          <w:rFonts w:ascii="Times New Roman" w:hAnsi="Times New Roman" w:cs="Times New Roman"/>
        </w:rPr>
        <w:t xml:space="preserve"> </w:t>
      </w:r>
      <w:r w:rsidRPr="00752C15">
        <w:rPr>
          <w:rFonts w:ascii="Times New Roman" w:hAnsi="Times New Roman" w:cs="Times New Roman"/>
        </w:rPr>
        <w:fldChar w:fldCharType="begin"/>
      </w:r>
      <w:r w:rsidR="003F255E" w:rsidRPr="00752C15">
        <w:rPr>
          <w:rFonts w:ascii="Times New Roman" w:hAnsi="Times New Roman" w:cs="Times New Roman"/>
        </w:rPr>
        <w:instrText xml:space="preserve"> ADDIN ZOTERO_ITEM CSL_CITATION {"citationID":"75QVGMTP","properties":{"formattedCitation":"Jyotsna Jalan and Arijit Sen, \\uc0\\u8216{}Containing a Pandemic with Public Actions and Public Trust: The Kerala Story\\uc0\\u8217{} (2020) 55 Indian Economic Review 105.","plainCitation":"Jyotsna Jalan and Arijit Sen, ‘Containing a Pandemic with Public Actions and Public Trust: The Kerala Story’ (2020) 55 Indian Economic Review 105.","noteIndex":56},"citationItems":[{"id":10728,"uris":["http://zotero.org/users/2073125/items/TTZHVXHI"],"itemData":{"id":10728,"type":"article-journal","abstract":"We study the Covid pandemic in the Indian state of Kerala, and document the state’s remarkable success in containing the pandemic’s first wave. By identifying Kerala’s initial conditions when it was hit by the pandemic, and different components of the state’s Covid policy, we conclude: While being subject to resource constraints faced by an Indian state located in a federal structure, Kerala contained its first Covid wave by preemptively formulating a comprehensive set of public actions—government actions that were supported and complemented by the state’s citizens. This was achieved by leveraging and reinforcing the citizen’s public trust in the state. Specifically, the state’s pandemic response contained supportive measures to ensure that poor lives were not pitted against rich lives; rather, the aim was to protect all lives and livelihoods.","container-title":"Indian Economic Review","DOI":"10.1007/s41775-020-00087-1","ISSN":"2520-1778","issue":"1","journalAbbreviation":"Ind. Econ. Rev.","language":"en","page":"105-124","source":"Springer Link","title":"Containing a pandemic with public actions and public trust: the Kerala story","title-short":"Containing a pandemic with public actions and public trust","volume":"55","author":[{"family":"Jalan","given":"Jyotsna"},{"family":"Sen","given":"Arijit"}],"issued":{"date-parts":[["2020",11,1]]}}}],"schema":"https://github.com/citation-style-language/schema/raw/master/csl-citation.json"} </w:instrText>
      </w:r>
      <w:r w:rsidRPr="00752C15">
        <w:rPr>
          <w:rFonts w:ascii="Times New Roman" w:hAnsi="Times New Roman" w:cs="Times New Roman"/>
        </w:rPr>
        <w:fldChar w:fldCharType="separate"/>
      </w:r>
      <w:r w:rsidRPr="00752C15">
        <w:rPr>
          <w:rFonts w:ascii="Times New Roman" w:hAnsi="Times New Roman" w:cs="Times New Roman"/>
        </w:rPr>
        <w:t>Jyotsna Jalan and Arijit Sen, ‘Containing a Pandemic with Public Actions and Public Trust: The Kerala Story’ (2020) 55 Indian Economic Review 105.</w:t>
      </w:r>
      <w:r w:rsidRPr="00752C15">
        <w:rPr>
          <w:rFonts w:ascii="Times New Roman" w:hAnsi="Times New Roman" w:cs="Times New Roman"/>
        </w:rPr>
        <w:fldChar w:fldCharType="end"/>
      </w:r>
    </w:p>
  </w:footnote>
  <w:footnote w:id="58">
    <w:p w14:paraId="0462AB3B" w14:textId="2F318CB3" w:rsidR="0031145D" w:rsidRPr="00752C15" w:rsidRDefault="0031145D" w:rsidP="00752C15">
      <w:pPr>
        <w:pStyle w:val="FootnoteText"/>
        <w:jc w:val="both"/>
        <w:rPr>
          <w:rFonts w:ascii="Times New Roman" w:hAnsi="Times New Roman" w:cs="Times New Roman"/>
          <w:lang w:val="en-US"/>
        </w:rPr>
      </w:pPr>
      <w:r w:rsidRPr="00DC52BD">
        <w:rPr>
          <w:rStyle w:val="FootnoteReference"/>
        </w:rPr>
        <w:footnoteRef/>
      </w:r>
      <w:r w:rsidRPr="00752C15">
        <w:rPr>
          <w:rFonts w:ascii="Times New Roman" w:hAnsi="Times New Roman" w:cs="Times New Roman"/>
        </w:rPr>
        <w:t xml:space="preserve"> </w:t>
      </w:r>
      <w:r w:rsidRPr="00752C15">
        <w:rPr>
          <w:rFonts w:ascii="Times New Roman" w:hAnsi="Times New Roman" w:cs="Times New Roman"/>
        </w:rPr>
        <w:fldChar w:fldCharType="begin"/>
      </w:r>
      <w:r w:rsidR="003F255E" w:rsidRPr="00752C15">
        <w:rPr>
          <w:rFonts w:ascii="Times New Roman" w:hAnsi="Times New Roman" w:cs="Times New Roman"/>
        </w:rPr>
        <w:instrText xml:space="preserve"> ADDIN ZOTERO_ITEM CSL_CITATION {"citationID":"KvzIuZ1n","properties":{"formattedCitation":"Joanna Gr\\uc0\\u281{}ndzi\\uc0\\u324{}ska and others, \\uc0\\u8216{}Four Cases, the Same Story? The Roles of the Prime Ministers in the V4 Countries During the COVID-19 Crisis\\uc0\\u8217{} (2022) 18 Transylvanian Review of Administrative Sciences 28, 36\\uc0\\u8211{}39.","plainCitation":"Joanna Gręndzińska and others, ‘Four Cases, the Same Story? The Roles of the Prime Ministers in the V4 Countries During the COVID-19 Crisis’ (2022) 18 Transylvanian Review of Administrative Sciences 28, 36–39.","noteIndex":57},"citationItems":[{"id":10811,"uris":["http://zotero.org/users/2073125/items/P5WLKZUA"],"itemData":{"id":10811,"type":"article-journal","container-title":"Transylvanian Review of Administrative Sciences","DOI":"10.24193/tras.66E.2","ISSN":"1842-2845","issue":"66","page":"28-44","title":"Four Cases, the Same Story? The Roles of the Prime Ministers in the V4 Countries During the COVID-19 Crisis","title-short":"Four Cases, the Same Story?","volume":"18","author":[{"family":"Gręndzińska","given":"Joanna"},{"family":"Hoffman","given":"István"},{"family":"Klimovský","given":"Daniel"},{"family":"Malý","given":"Ivan"},{"family":"Nemec","given":"Juraj"}],"issued":{"date-parts":[["2022",6,28]]}},"locator":"36-39","label":"page"}],"schema":"https://github.com/citation-style-language/schema/raw/master/csl-citation.json"} </w:instrText>
      </w:r>
      <w:r w:rsidRPr="00752C15">
        <w:rPr>
          <w:rFonts w:ascii="Times New Roman" w:hAnsi="Times New Roman" w:cs="Times New Roman"/>
        </w:rPr>
        <w:fldChar w:fldCharType="separate"/>
      </w:r>
      <w:r w:rsidR="00BF3BC4" w:rsidRPr="00752C15">
        <w:rPr>
          <w:rFonts w:ascii="Times New Roman" w:hAnsi="Times New Roman" w:cs="Times New Roman"/>
        </w:rPr>
        <w:t>Joanna Gręndzińska and others, ‘Four Cases, the Same Story? The Roles of the Prime Ministers in the V4 Countries During the COVID-19 Crisis’ (2022) 18 Transylvanian Review of Administrative Sciences 28, 36–39.</w:t>
      </w:r>
      <w:r w:rsidRPr="00752C15">
        <w:rPr>
          <w:rFonts w:ascii="Times New Roman" w:hAnsi="Times New Roman" w:cs="Times New Roman"/>
        </w:rPr>
        <w:fldChar w:fldCharType="end"/>
      </w:r>
    </w:p>
  </w:footnote>
  <w:footnote w:id="59">
    <w:p w14:paraId="2C6772AB" w14:textId="788BE531" w:rsidR="008B79D2" w:rsidRPr="00752C15" w:rsidRDefault="008B79D2" w:rsidP="00752C15">
      <w:pPr>
        <w:pStyle w:val="FootnoteText"/>
        <w:jc w:val="both"/>
        <w:rPr>
          <w:rFonts w:ascii="Times New Roman" w:hAnsi="Times New Roman" w:cs="Times New Roman"/>
          <w:lang w:val="en-US"/>
        </w:rPr>
      </w:pPr>
      <w:r w:rsidRPr="00DC52BD">
        <w:rPr>
          <w:rStyle w:val="FootnoteReference"/>
        </w:rPr>
        <w:footnoteRef/>
      </w:r>
      <w:r w:rsidRPr="00752C15">
        <w:rPr>
          <w:rFonts w:ascii="Times New Roman" w:hAnsi="Times New Roman" w:cs="Times New Roman"/>
        </w:rPr>
        <w:t xml:space="preserve"> </w:t>
      </w:r>
      <w:r w:rsidRPr="00752C15">
        <w:rPr>
          <w:rFonts w:ascii="Times New Roman" w:hAnsi="Times New Roman" w:cs="Times New Roman"/>
          <w:lang w:val="en-US"/>
        </w:rPr>
        <w:t>Act. No. 414/2020 Coll.</w:t>
      </w:r>
    </w:p>
  </w:footnote>
  <w:footnote w:id="60">
    <w:p w14:paraId="1143054B" w14:textId="41A07373" w:rsidR="007631B4" w:rsidRPr="00752C15" w:rsidRDefault="007631B4" w:rsidP="00752C15">
      <w:pPr>
        <w:pStyle w:val="FootnoteText"/>
        <w:jc w:val="both"/>
        <w:rPr>
          <w:rFonts w:ascii="Times New Roman" w:hAnsi="Times New Roman" w:cs="Times New Roman"/>
          <w:lang w:val="sk-SK"/>
        </w:rPr>
      </w:pPr>
      <w:r w:rsidRPr="00DC52BD">
        <w:rPr>
          <w:rStyle w:val="FootnoteReference"/>
        </w:rPr>
        <w:footnoteRef/>
      </w:r>
      <w:r w:rsidRPr="00752C15">
        <w:rPr>
          <w:rFonts w:ascii="Times New Roman" w:hAnsi="Times New Roman" w:cs="Times New Roman"/>
        </w:rPr>
        <w:t xml:space="preserve"> </w:t>
      </w:r>
      <w:r w:rsidRPr="00752C15">
        <w:rPr>
          <w:rFonts w:ascii="Times New Roman" w:hAnsi="Times New Roman" w:cs="Times New Roman"/>
        </w:rPr>
        <w:fldChar w:fldCharType="begin"/>
      </w:r>
      <w:r w:rsidR="003F255E" w:rsidRPr="00752C15">
        <w:rPr>
          <w:rFonts w:ascii="Times New Roman" w:hAnsi="Times New Roman" w:cs="Times New Roman"/>
        </w:rPr>
        <w:instrText xml:space="preserve"> ADDIN ZOTERO_ITEM CSL_CITATION {"citationID":"6a3WwMdj","properties":{"formattedCitation":"Veronica Anghel and Erik Jones, \\uc0\\u8216{}Riders on the Storm: The Politics of Disruption in European Member States during the COVID-19 Pandemic\\uc0\\u8217{} (2022) 38 East European Politics 551, 562\\uc0\\u8211{}563.","plainCitation":"Veronica Anghel and Erik Jones, ‘Riders on the Storm: The Politics of Disruption in European Member States during the COVID-19 Pandemic’ (2022) 38 East European Politics 551, 562–563.","noteIndex":59},"citationItems":[{"id":10825,"uris":["http://zotero.org/users/2073125/items/6Z77447I"],"itemData":{"id":10825,"type":"article-journal","abstract":"This paper explores how democracies handle the trade-off between public safety and fundamental democratic principles. We show that an exogenous shock, like the pandemic, creates incentives for governing elites to deploy self-empowering mechanisms to avoid institutional checks and balances – with lasting consequences for democratic performance. We examine this prospect in Italy and Romania. These cases have a long history of institutional gridlock; such history reinforces incentives to work around traditional institutions in responding to the pandemic. While the two cases vary in terms of the quality and resilience of their democratic institutions, we find that elites displayed a similar propensity to overlook the intricate institutional balances during a moment of crisis. In Italy, the executive strengthened its power relative to the legislature; in Romania, the strengthening is relative to the judiciary. This finding has implications in assessing the risk for falling standards of liberal democracy across the European Union.","container-title":"East European Politics","DOI":"10.1080/21599165.2022.2122045","ISSN":"2159-9165","issue":"4","note":"publisher: Routledge\n_eprint: https://doi.org/10.1080/21599165.2022.2122045","page":"551-570","source":"Taylor and Francis+NEJM","title":"Riders on the storm: the politics of disruption in European member states during the COVID-19 pandemic","title-short":"Riders on the storm","volume":"38","author":[{"family":"Anghel","given":"Veronica"},{"family":"Jones","given":"Erik"}],"issued":{"date-parts":[["2022",10,2]]}},"locator":"562-563","label":"page"}],"schema":"https://github.com/citation-style-language/schema/raw/master/csl-citation.json"} </w:instrText>
      </w:r>
      <w:r w:rsidRPr="00752C15">
        <w:rPr>
          <w:rFonts w:ascii="Times New Roman" w:hAnsi="Times New Roman" w:cs="Times New Roman"/>
        </w:rPr>
        <w:fldChar w:fldCharType="separate"/>
      </w:r>
      <w:r w:rsidR="00BF3BC4" w:rsidRPr="00752C15">
        <w:rPr>
          <w:rFonts w:ascii="Times New Roman" w:hAnsi="Times New Roman" w:cs="Times New Roman"/>
        </w:rPr>
        <w:t>Veronica Anghel and Erik Jones, ‘Riders on the Storm: The Politics of Disruption in European Member States during the COVID-19 Pandemic’ (2022) 38 East European Politics 551, 562–563.</w:t>
      </w:r>
      <w:r w:rsidRPr="00752C15">
        <w:rPr>
          <w:rFonts w:ascii="Times New Roman" w:hAnsi="Times New Roman" w:cs="Times New Roman"/>
        </w:rPr>
        <w:fldChar w:fldCharType="end"/>
      </w:r>
    </w:p>
  </w:footnote>
  <w:footnote w:id="61">
    <w:p w14:paraId="118BA943" w14:textId="4FBF22AE" w:rsidR="003659C1" w:rsidRPr="00752C15" w:rsidRDefault="003659C1" w:rsidP="00752C15">
      <w:pPr>
        <w:pStyle w:val="FootnoteText"/>
        <w:jc w:val="both"/>
        <w:rPr>
          <w:rFonts w:ascii="Times New Roman" w:hAnsi="Times New Roman" w:cs="Times New Roman"/>
          <w:lang w:val="sk-SK"/>
        </w:rPr>
      </w:pPr>
      <w:r w:rsidRPr="00DC52BD">
        <w:rPr>
          <w:rStyle w:val="FootnoteReference"/>
        </w:rPr>
        <w:footnoteRef/>
      </w:r>
      <w:r w:rsidRPr="00752C15">
        <w:rPr>
          <w:rFonts w:ascii="Times New Roman" w:hAnsi="Times New Roman" w:cs="Times New Roman"/>
        </w:rPr>
        <w:t xml:space="preserve"> </w:t>
      </w:r>
      <w:r w:rsidR="003F255E" w:rsidRPr="00752C15">
        <w:rPr>
          <w:rFonts w:ascii="Times New Roman" w:hAnsi="Times New Roman" w:cs="Times New Roman"/>
        </w:rPr>
        <w:fldChar w:fldCharType="begin"/>
      </w:r>
      <w:r w:rsidR="00DC26F9" w:rsidRPr="00752C15">
        <w:rPr>
          <w:rFonts w:ascii="Times New Roman" w:hAnsi="Times New Roman" w:cs="Times New Roman"/>
        </w:rPr>
        <w:instrText xml:space="preserve"> ADDIN ZOTERO_ITEM CSL_CITATION {"citationID":"yc0a9PnA","properties":{"formattedCitation":"Government of the Slovak Republic, \\uc0\\u8216{}N\\uc0\\u225{}vrh na vyhl\\uc0\\u225{}senie n\\uc0\\u250{}dzov\\uc0\\u233{}ho stavu UV-5965/2020 [Proposal to Declare a State of Emergency]\\uc0\\u8217{} (15 March 2020) &lt;https://rokovania.gov.sk/RVL/Material/24589/1&gt;.","plainCitation":"Government of the Slovak Republic, ‘Návrh na vyhlásenie núdzového stavu UV-5965/2020 [Proposal to Declare a State of Emergency]’ (15 March 2020) &lt;https://rokovania.gov.sk/RVL/Material/24589/1&gt;.","noteIndex":60},"citationItems":[{"id":12049,"uris":["http://zotero.org/users/2073125/items/MLSMFQ4I"],"itemData":{"id":12049,"type":"webpage","abstract":"Návrh na vyhlásenie núdzového stavu podľa čl. 5 ústavného zákona č. 227/2002 Z. z. o bezpečnosti štátu v čase vojny, vojnového stavu, výnimočného stavu a núdzového stavu v znení neskorších predpisov, na uloženie pracovnej povinnosti na zabezpečenie výkonu zdravotnej starostlivosti a zakázanie uplatňovania práva na štrajk niektorým pracovníkom","language":"SK","title":"Návrh na vyhlásenie núdzového stavu UV-5965/2020 [Proposal to Declare a State of Emergency]","URL":"https://rokovania.gov.sk/RVL/Material/24589/1","author":[{"family":"Government of the Slovak Republic","given":""}],"issued":{"date-parts":[["2020",3,15]]}}}],"schema":"https://github.com/citation-style-language/schema/raw/master/csl-citation.json"} </w:instrText>
      </w:r>
      <w:r w:rsidR="003F255E" w:rsidRPr="00752C15">
        <w:rPr>
          <w:rFonts w:ascii="Times New Roman" w:hAnsi="Times New Roman" w:cs="Times New Roman"/>
        </w:rPr>
        <w:fldChar w:fldCharType="separate"/>
      </w:r>
      <w:r w:rsidR="00DC26F9" w:rsidRPr="00752C15">
        <w:rPr>
          <w:rFonts w:ascii="Times New Roman" w:hAnsi="Times New Roman" w:cs="Times New Roman"/>
          <w:szCs w:val="24"/>
        </w:rPr>
        <w:t>Government of the Slovak Republic, ‘Návrh na vyhlásenie núdzového stavu UV-5965/2020 [Proposal to Declare a State of Emergency]’ (15 March 2020) &lt;https://rokovania.gov.sk/RVL/Material/24589/1&gt;.</w:t>
      </w:r>
      <w:r w:rsidR="003F255E" w:rsidRPr="00752C15">
        <w:rPr>
          <w:rFonts w:ascii="Times New Roman" w:hAnsi="Times New Roman" w:cs="Times New Roman"/>
        </w:rPr>
        <w:fldChar w:fldCharType="end"/>
      </w:r>
    </w:p>
  </w:footnote>
  <w:footnote w:id="62">
    <w:p w14:paraId="7BA34E8A" w14:textId="5D9FD967" w:rsidR="00630A93" w:rsidRPr="00752C15" w:rsidRDefault="00630A93" w:rsidP="00752C15">
      <w:pPr>
        <w:pStyle w:val="FootnoteText"/>
        <w:jc w:val="both"/>
        <w:rPr>
          <w:rFonts w:ascii="Times New Roman" w:hAnsi="Times New Roman" w:cs="Times New Roman"/>
          <w:lang w:val="sk-SK"/>
        </w:rPr>
      </w:pPr>
      <w:r w:rsidRPr="00DC52BD">
        <w:rPr>
          <w:rStyle w:val="FootnoteReference"/>
        </w:rPr>
        <w:footnoteRef/>
      </w:r>
      <w:r w:rsidRPr="00752C15">
        <w:rPr>
          <w:rFonts w:ascii="Times New Roman" w:hAnsi="Times New Roman" w:cs="Times New Roman"/>
        </w:rPr>
        <w:t xml:space="preserve"> </w:t>
      </w:r>
      <w:r w:rsidR="002A74D0" w:rsidRPr="00752C15">
        <w:rPr>
          <w:rFonts w:ascii="Times New Roman" w:hAnsi="Times New Roman" w:cs="Times New Roman"/>
        </w:rPr>
        <w:fldChar w:fldCharType="begin"/>
      </w:r>
      <w:r w:rsidR="002A74D0" w:rsidRPr="00752C15">
        <w:rPr>
          <w:rFonts w:ascii="Times New Roman" w:hAnsi="Times New Roman" w:cs="Times New Roman"/>
        </w:rPr>
        <w:instrText xml:space="preserve"> ADDIN ZOTERO_ITEM CSL_CITATION {"citationID":"KdgZc2fK","properties":{"formattedCitation":"Government of the Slovak Republic, \\uc0\\u8216{}N\\uc0\\u225{}vrh na roz\\uc0\\u353{}\\uc0\\u237{}renie n\\uc0\\u250{}dzov\\uc0\\u233{}ho stavu UV-6124/2020 [Proposal to Extend the State of Emergency]\\uc0\\u8217{} (2020) &lt;https://rokovania.gov.sk/RVL/Material/24597/1&gt;.","plainCitation":"Government of the Slovak Republic, ‘Návrh na rozšírenie núdzového stavu UV-6124/2020 [Proposal to Extend the State of Emergency]’ (2020) &lt;https://rokovania.gov.sk/RVL/Material/24597/1&gt;.","noteIndex":61},"citationItems":[{"id":12051,"uris":["http://zotero.org/users/2073125/items/MNWY54PG"],"itemData":{"id":12051,"type":"webpage","language":"SK","title":"Návrh na rozšírenie núdzového stavu UV-6124/2020 [Proposal to Extend the State of Emergency]","URL":"https://rokovania.gov.sk/RVL/Material/24597/1","author":[{"family":"Government of the Slovak Republic","given":""}],"issued":{"date-parts":[["2020"]]}}}],"schema":"https://github.com/citation-style-language/schema/raw/master/csl-citation.json"} </w:instrText>
      </w:r>
      <w:r w:rsidR="002A74D0" w:rsidRPr="00752C15">
        <w:rPr>
          <w:rFonts w:ascii="Times New Roman" w:hAnsi="Times New Roman" w:cs="Times New Roman"/>
        </w:rPr>
        <w:fldChar w:fldCharType="separate"/>
      </w:r>
      <w:r w:rsidR="002A74D0" w:rsidRPr="00752C15">
        <w:rPr>
          <w:rFonts w:ascii="Times New Roman" w:hAnsi="Times New Roman" w:cs="Times New Roman"/>
          <w:szCs w:val="24"/>
        </w:rPr>
        <w:t>Government of the Slovak Republic, ‘Návrh na rozšírenie núdzového stavu UV-6124/2020 [Proposal to Extend the State of Emergency]’ (2020) &lt;https://rokovania.gov.sk/RVL/Material/24597/1&gt;.</w:t>
      </w:r>
      <w:r w:rsidR="002A74D0" w:rsidRPr="00752C15">
        <w:rPr>
          <w:rFonts w:ascii="Times New Roman" w:hAnsi="Times New Roman" w:cs="Times New Roman"/>
        </w:rPr>
        <w:fldChar w:fldCharType="end"/>
      </w:r>
    </w:p>
  </w:footnote>
  <w:footnote w:id="63">
    <w:p w14:paraId="34C5A799" w14:textId="054DDC3C" w:rsidR="00A554D9" w:rsidRPr="00752C15" w:rsidRDefault="00A554D9" w:rsidP="00752C15">
      <w:pPr>
        <w:pStyle w:val="FootnoteText"/>
        <w:jc w:val="both"/>
        <w:rPr>
          <w:rFonts w:ascii="Times New Roman" w:hAnsi="Times New Roman" w:cs="Times New Roman"/>
          <w:lang w:val="en-US"/>
        </w:rPr>
      </w:pPr>
      <w:r w:rsidRPr="00DC52BD">
        <w:rPr>
          <w:rStyle w:val="FootnoteReference"/>
        </w:rPr>
        <w:footnoteRef/>
      </w:r>
      <w:r w:rsidRPr="00752C15">
        <w:rPr>
          <w:rFonts w:ascii="Times New Roman" w:hAnsi="Times New Roman" w:cs="Times New Roman"/>
        </w:rPr>
        <w:t xml:space="preserve"> </w:t>
      </w:r>
      <w:r w:rsidR="00F24054" w:rsidRPr="00752C15">
        <w:rPr>
          <w:rFonts w:ascii="Times New Roman" w:hAnsi="Times New Roman" w:cs="Times New Roman"/>
        </w:rPr>
        <w:fldChar w:fldCharType="begin"/>
      </w:r>
      <w:r w:rsidR="00F24054" w:rsidRPr="00752C15">
        <w:rPr>
          <w:rFonts w:ascii="Times New Roman" w:hAnsi="Times New Roman" w:cs="Times New Roman"/>
        </w:rPr>
        <w:instrText xml:space="preserve"> ADDIN ZOTERO_ITEM CSL_CITATION {"citationID":"YBXjxLsg","properties":{"formattedCitation":"Government of the Slovak Republic, \\uc0\\u8216{}N\\uc0\\u225{}vrh na skon\\uc0\\u269{}enie n\\uc0\\u250{}dzov\\uc0\\u233{}ho stavu UV-12317/2020 [Proposal to End the State of Emergency]\\uc0\\u8217{} (2020) &lt;https://rokovania.gov.sk/RVL/Material/24954/1&gt;.","plainCitation":"Government of the Slovak Republic, ‘Návrh na skončenie núdzového stavu UV-12317/2020 [Proposal to End the State of Emergency]’ (2020) &lt;https://rokovania.gov.sk/RVL/Material/24954/1&gt;.","noteIndex":62},"citationItems":[{"id":12054,"uris":["http://zotero.org/users/2073125/items/ZJQEYEAF"],"itemData":{"id":12054,"type":"webpage","abstract":"Návrh na skončenie núdzového stavu, zrušenie uloženia pracovnej povinnosti na zabezpečenie výkonu zdravotnej starostlivosti, zrušenie zákazu uplatňovania práva na štrajk niektorým pracovníkom a zrušenie zákazu uplatňovania práva pokojne sa zhromažďovať vyhláseného uznesením vlády Slovenskej republiky č. 114 z 15. marca 2020 a rozšíreného uznesením vlády Slovenskej republiky č. 115 z 18. marca 2020, uznesením vlády Slovenskej republiky č. 169 z 27. marca 2020, uznesením vlády Slovenskej republiky č. 207 zo 6. apríla 2020 a uznesením vlády Slovenskej republiky č. 233 zo 16. apríla 2020","language":"sk","title":"Návrh na skončenie núdzového stavu UV-12317/2020 [Proposal to End the State of Emergency]","URL":"https://rokovania.gov.sk/RVL/Material/24954/1","author":[{"family":"Government of the Slovak Republic","given":""}],"issued":{"date-parts":[["2020"]]}}}],"schema":"https://github.com/citation-style-language/schema/raw/master/csl-citation.json"} </w:instrText>
      </w:r>
      <w:r w:rsidR="00F24054" w:rsidRPr="00752C15">
        <w:rPr>
          <w:rFonts w:ascii="Times New Roman" w:hAnsi="Times New Roman" w:cs="Times New Roman"/>
        </w:rPr>
        <w:fldChar w:fldCharType="separate"/>
      </w:r>
      <w:r w:rsidR="00F24054" w:rsidRPr="00752C15">
        <w:rPr>
          <w:rFonts w:ascii="Times New Roman" w:hAnsi="Times New Roman" w:cs="Times New Roman"/>
          <w:szCs w:val="24"/>
        </w:rPr>
        <w:t>Government of the Slovak Republic, ‘Návrh na skončenie núdzového stavu UV-12317/2020 [Proposal to End the State of Emergency]’ (2020) &lt;https://rokovania.gov.sk/RVL/Material/24954/1&gt;.</w:t>
      </w:r>
      <w:r w:rsidR="00F24054" w:rsidRPr="00752C15">
        <w:rPr>
          <w:rFonts w:ascii="Times New Roman" w:hAnsi="Times New Roman" w:cs="Times New Roman"/>
        </w:rPr>
        <w:fldChar w:fldCharType="end"/>
      </w:r>
    </w:p>
  </w:footnote>
  <w:footnote w:id="64">
    <w:p w14:paraId="5CD6B3C4" w14:textId="0216E098" w:rsidR="001D7635" w:rsidRPr="00752C15" w:rsidRDefault="001D7635" w:rsidP="00752C15">
      <w:pPr>
        <w:pStyle w:val="FootnoteText"/>
        <w:jc w:val="both"/>
        <w:rPr>
          <w:rFonts w:ascii="Times New Roman" w:hAnsi="Times New Roman" w:cs="Times New Roman"/>
          <w:lang w:val="sk-SK"/>
        </w:rPr>
      </w:pPr>
      <w:r w:rsidRPr="00DC52BD">
        <w:rPr>
          <w:rStyle w:val="FootnoteReference"/>
        </w:rPr>
        <w:footnoteRef/>
      </w:r>
      <w:r w:rsidR="00DD4CA2" w:rsidRPr="00752C15">
        <w:rPr>
          <w:rFonts w:ascii="Times New Roman" w:hAnsi="Times New Roman" w:cs="Times New Roman"/>
        </w:rPr>
        <w:t xml:space="preserve"> </w:t>
      </w:r>
      <w:r w:rsidR="00AC2097" w:rsidRPr="00752C15">
        <w:rPr>
          <w:rFonts w:ascii="Times New Roman" w:hAnsi="Times New Roman" w:cs="Times New Roman"/>
        </w:rPr>
        <w:fldChar w:fldCharType="begin"/>
      </w:r>
      <w:r w:rsidR="00AC2097" w:rsidRPr="00752C15">
        <w:rPr>
          <w:rFonts w:ascii="Times New Roman" w:hAnsi="Times New Roman" w:cs="Times New Roman"/>
        </w:rPr>
        <w:instrText xml:space="preserve"> ADDIN ZOTERO_ITEM CSL_CITATION {"citationID":"eJieeRBg","properties":{"formattedCitation":"Government of the Slovak Republic, \\uc0\\u8216{}N\\uc0\\u225{}vrh na vyhl\\uc0\\u225{}senie n\\uc0\\u250{}dzov\\uc0\\u233{}ho stavu UV-20941/2020 [Proposal to Declare a State of Emergency]\\uc0\\u8217{} (2020) &lt;https://rokovania.gov.sk/RVL/Material/25338/1&gt;.","plainCitation":"Government of the Slovak Republic, ‘Návrh na vyhlásenie núdzového stavu UV-20941/2020 [Proposal to Declare a State of Emergency]’ (2020) &lt;https://rokovania.gov.sk/RVL/Material/25338/1&gt;.","noteIndex":63},"citationItems":[{"id":12055,"uris":["http://zotero.org/users/2073125/items/SVI8GKX9"],"itemData":{"id":12055,"type":"webpage","abstract":"Návrh na vyhlásenie núdzového stavu podľa čl. 5 ústavného zákona č. 227/2002 Z. z. o bezpečnosti štátu v čase vojny, vojnového stavu, výnimočného stavu a núdzového stavu v znení neskorších predpisov","language":"SK","title":"Návrh na vyhlásenie núdzového stavu UV-20941/2020 [Proposal to Declare a State of Emergency]","URL":"https://rokovania.gov.sk/RVL/Material/25338/1","author":[{"family":"Government of the Slovak Republic","given":""}],"issued":{"date-parts":[["2020"]]}}}],"schema":"https://github.com/citation-style-language/schema/raw/master/csl-citation.json"} </w:instrText>
      </w:r>
      <w:r w:rsidR="00AC2097" w:rsidRPr="00752C15">
        <w:rPr>
          <w:rFonts w:ascii="Times New Roman" w:hAnsi="Times New Roman" w:cs="Times New Roman"/>
        </w:rPr>
        <w:fldChar w:fldCharType="separate"/>
      </w:r>
      <w:r w:rsidR="00AC2097" w:rsidRPr="00752C15">
        <w:rPr>
          <w:rFonts w:ascii="Times New Roman" w:hAnsi="Times New Roman" w:cs="Times New Roman"/>
          <w:szCs w:val="24"/>
        </w:rPr>
        <w:t>Government of the Slovak Republic, ‘Návrh na vyhlásenie núdzového stavu UV-20941/2020 [Proposal to Declare a State of Emergency]’ (2020) &lt;https://rokovania.gov.sk/RVL/Material/25338/1&gt;.</w:t>
      </w:r>
      <w:r w:rsidR="00AC2097" w:rsidRPr="00752C15">
        <w:rPr>
          <w:rFonts w:ascii="Times New Roman" w:hAnsi="Times New Roman" w:cs="Times New Roman"/>
        </w:rPr>
        <w:fldChar w:fldCharType="end"/>
      </w:r>
      <w:r w:rsidRPr="00752C15">
        <w:rPr>
          <w:rFonts w:ascii="Times New Roman" w:hAnsi="Times New Roman" w:cs="Times New Roman"/>
        </w:rPr>
        <w:t xml:space="preserve"> </w:t>
      </w:r>
    </w:p>
  </w:footnote>
  <w:footnote w:id="65">
    <w:p w14:paraId="704BA424" w14:textId="53FBE898" w:rsidR="00361425" w:rsidRPr="00752C15" w:rsidRDefault="00361425" w:rsidP="00752C15">
      <w:pPr>
        <w:pStyle w:val="FootnoteText"/>
        <w:jc w:val="both"/>
        <w:rPr>
          <w:rFonts w:ascii="Times New Roman" w:hAnsi="Times New Roman" w:cs="Times New Roman"/>
          <w:lang w:val="sk-SK"/>
        </w:rPr>
      </w:pPr>
      <w:r w:rsidRPr="00DC52BD">
        <w:rPr>
          <w:rStyle w:val="FootnoteReference"/>
        </w:rPr>
        <w:footnoteRef/>
      </w:r>
      <w:r w:rsidR="00B53E1B" w:rsidRPr="00752C15">
        <w:rPr>
          <w:rFonts w:ascii="Times New Roman" w:hAnsi="Times New Roman" w:cs="Times New Roman"/>
        </w:rPr>
        <w:t xml:space="preserve"> </w:t>
      </w:r>
      <w:r w:rsidR="00787F90" w:rsidRPr="00752C15">
        <w:rPr>
          <w:rFonts w:ascii="Times New Roman" w:hAnsi="Times New Roman" w:cs="Times New Roman"/>
        </w:rPr>
        <w:fldChar w:fldCharType="begin"/>
      </w:r>
      <w:r w:rsidR="00787F90" w:rsidRPr="00752C15">
        <w:rPr>
          <w:rFonts w:ascii="Times New Roman" w:hAnsi="Times New Roman" w:cs="Times New Roman"/>
        </w:rPr>
        <w:instrText xml:space="preserve"> ADDIN ZOTERO_ITEM CSL_CITATION {"citationID":"ChL4Cfqj","properties":{"formattedCitation":"Government of the Slovak Republic, \\uc0\\u8216{}N\\uc0\\u225{}vrh na zmenu \\uc0\\u269{}asu trvania n\\uc0\\u250{}dzov\\uc0\\u233{}ho stavu UV-24360/2020 [Proposal to Change the Duration of the State of Emergency]\\uc0\\u8217{} (2020) &lt;https://rokovania.gov.sk/RVL/Material/25473/1&gt;.","plainCitation":"Government of the Slovak Republic, ‘Návrh na zmenu času trvania núdzového stavu UV-24360/2020 [Proposal to Change the Duration of the State of Emergency]’ (2020) &lt;https://rokovania.gov.sk/RVL/Material/25473/1&gt;.","noteIndex":64},"citationItems":[{"id":12056,"uris":["http://zotero.org/users/2073125/items/DJSSTGT3"],"itemData":{"id":12056,"type":"webpage","abstract":"Návrh na zmenu času trvania núdzového stavu podľa čl. 5 ústavného zákona č. 227/2002 Z. z. o bezpečnosti štátu v čase vojny, vojnového stavu, výnimočného stavu a núdzového stavu v znení neskorších predpisov vyhláseného uznesením vlády Slovenskej republiky č. 587 z 30. septembra 2020 a na prijatie ďalších opatrení podľa čl. 5 ústavného zákona č. 227/2002 Z. z. o bezpečnosti štátu v čase vojny, vojnového stavu, výnimočného stavu a núdzového stavu v znení neskorších predpisov","language":"SK","title":"Návrh na zmenu času trvania núdzového stavu UV-24360/2020 [Proposal to Change the Duration of the State of Emergency]","URL":"https://rokovania.gov.sk/RVL/Material/25473/1","author":[{"family":"Government of the Slovak Republic","given":""}],"issued":{"date-parts":[["2020"]]}}}],"schema":"https://github.com/citation-style-language/schema/raw/master/csl-citation.json"} </w:instrText>
      </w:r>
      <w:r w:rsidR="00787F90" w:rsidRPr="00752C15">
        <w:rPr>
          <w:rFonts w:ascii="Times New Roman" w:hAnsi="Times New Roman" w:cs="Times New Roman"/>
        </w:rPr>
        <w:fldChar w:fldCharType="separate"/>
      </w:r>
      <w:r w:rsidR="00787F90" w:rsidRPr="00752C15">
        <w:rPr>
          <w:rFonts w:ascii="Times New Roman" w:hAnsi="Times New Roman" w:cs="Times New Roman"/>
          <w:szCs w:val="24"/>
        </w:rPr>
        <w:t>Government of the Slovak Republic, ‘Návrh na zmenu času trvania núdzového stavu UV-24360/2020 [Proposal to Change the Duration of the State of Emergency]’ (2020) &lt;https://rokovania.gov.sk/RVL/Material/25473/1&gt;.</w:t>
      </w:r>
      <w:r w:rsidR="00787F90" w:rsidRPr="00752C15">
        <w:rPr>
          <w:rFonts w:ascii="Times New Roman" w:hAnsi="Times New Roman" w:cs="Times New Roman"/>
        </w:rPr>
        <w:fldChar w:fldCharType="end"/>
      </w:r>
      <w:r w:rsidR="001C09F1" w:rsidRPr="00752C15">
        <w:rPr>
          <w:rFonts w:ascii="Times New Roman" w:hAnsi="Times New Roman" w:cs="Times New Roman"/>
        </w:rPr>
        <w:t xml:space="preserve"> </w:t>
      </w:r>
    </w:p>
  </w:footnote>
  <w:footnote w:id="66">
    <w:p w14:paraId="493BC03A" w14:textId="439E501D" w:rsidR="00BA01E7" w:rsidRPr="00752C15" w:rsidRDefault="00BA01E7" w:rsidP="00752C15">
      <w:pPr>
        <w:pStyle w:val="FootnoteText"/>
        <w:jc w:val="both"/>
        <w:rPr>
          <w:rFonts w:ascii="Times New Roman" w:hAnsi="Times New Roman" w:cs="Times New Roman"/>
          <w:lang w:val="en-IN"/>
        </w:rPr>
      </w:pPr>
      <w:r w:rsidRPr="00DC52BD">
        <w:rPr>
          <w:rStyle w:val="FootnoteReference"/>
        </w:rPr>
        <w:footnoteRef/>
      </w:r>
      <w:r w:rsidRPr="00752C15">
        <w:rPr>
          <w:rFonts w:ascii="Times New Roman" w:hAnsi="Times New Roman" w:cs="Times New Roman"/>
        </w:rPr>
        <w:t xml:space="preserve"> </w:t>
      </w:r>
      <w:r w:rsidRPr="00752C15">
        <w:rPr>
          <w:rFonts w:ascii="Times New Roman" w:hAnsi="Times New Roman" w:cs="Times New Roman"/>
        </w:rPr>
        <w:fldChar w:fldCharType="begin"/>
      </w:r>
      <w:r w:rsidR="003F255E" w:rsidRPr="00752C15">
        <w:rPr>
          <w:rFonts w:ascii="Times New Roman" w:hAnsi="Times New Roman" w:cs="Times New Roman"/>
        </w:rPr>
        <w:instrText xml:space="preserve"> ADDIN ZOTERO_ITEM CSL_CITATION {"citationID":"3dzcb8bX","properties":{"formattedCitation":"Scheppele and Pozen (n 23) 39 note that leaders going on holidays during a time of imminent threat is an indicator of executive underreach.","plainCitation":"Scheppele and Pozen (n 23) 39 note that leaders going on holidays during a time of imminent threat is an indicator of executive underreach.","noteIndex":65},"citationItems":[{"id":4609,"uris":["http://zotero.org/users/2073125/items/Q9539B79"],"itemData":{"id":4609,"type":"chapter","abstract":"The COVID-19 pandemic has presented an important case study, on a global scale, of how democracy works - and fails to work - today. From leadership to citizenship, from due process to checks and balances, from globalization to misinformation, from solidarity within and across borders to the role of expertise, key democratic concepts both old and new are now being put to the test. The future of democracy around the world is at issue as today's governments manage their responses to the pandemic. Bringing together some of today's most creative thinkers, these essays offer a variety of inquiries into democracy during the global pandemic with a view to imagining post-crisis political conditions. Representing different regions and disciplines, including law, politics, philosophy, religion, and sociology, eighteen voices offer different outlooks - optimistic and pessimistic - on the future.","container-title":"Democracy in Times of Pandemic: Different Futures Imagined","event-place":"Cambridge","ISBN":"978-1-108-84536-6","language":"English","page":"38-53","publisher":"CUP","publisher-place":"Cambridge","source":"Amazon","title":"Executive Overreach and Underreach in the Pandemic","editor":[{"family":"Maduro","given":"Miguel Poiares"},{"family":"Kahn","given":"Paul W."}],"author":[{"family":"Scheppele","given":"Kim Lane"},{"family":"Pozen","given":"David"}],"issued":{"date-parts":[["2020",11,12]]}},"locator":"39","suffix":"note that leaders going on holidays during a time of imminent threat is an indicator of executive underreach."}],"schema":"https://github.com/citation-style-language/schema/raw/master/csl-citation.json"} </w:instrText>
      </w:r>
      <w:r w:rsidRPr="00752C15">
        <w:rPr>
          <w:rFonts w:ascii="Times New Roman" w:hAnsi="Times New Roman" w:cs="Times New Roman"/>
        </w:rPr>
        <w:fldChar w:fldCharType="separate"/>
      </w:r>
      <w:r w:rsidR="003F255E" w:rsidRPr="00752C15">
        <w:rPr>
          <w:rFonts w:ascii="Times New Roman" w:hAnsi="Times New Roman" w:cs="Times New Roman"/>
        </w:rPr>
        <w:t>Scheppele and Pozen (n 23) 39 note that leaders going on holidays during a time of imminent threat is an indicator of executive underreach.</w:t>
      </w:r>
      <w:r w:rsidRPr="00752C15">
        <w:rPr>
          <w:rFonts w:ascii="Times New Roman" w:hAnsi="Times New Roman" w:cs="Times New Roman"/>
        </w:rPr>
        <w:fldChar w:fldCharType="end"/>
      </w:r>
    </w:p>
  </w:footnote>
  <w:footnote w:id="67">
    <w:p w14:paraId="4F9291BF" w14:textId="5517910F" w:rsidR="00F91E58" w:rsidRPr="00752C15" w:rsidRDefault="00F91E58" w:rsidP="00752C15">
      <w:pPr>
        <w:pStyle w:val="FootnoteText"/>
        <w:jc w:val="both"/>
        <w:rPr>
          <w:rFonts w:ascii="Times New Roman" w:hAnsi="Times New Roman" w:cs="Times New Roman"/>
          <w:lang w:val="en-IN"/>
        </w:rPr>
      </w:pPr>
      <w:r w:rsidRPr="00DC52BD">
        <w:rPr>
          <w:rStyle w:val="FootnoteReference"/>
        </w:rPr>
        <w:footnoteRef/>
      </w:r>
      <w:r w:rsidRPr="00752C15">
        <w:rPr>
          <w:rFonts w:ascii="Times New Roman" w:hAnsi="Times New Roman" w:cs="Times New Roman"/>
        </w:rPr>
        <w:t xml:space="preserve"> </w:t>
      </w:r>
      <w:r w:rsidRPr="00752C15">
        <w:rPr>
          <w:rFonts w:ascii="Times New Roman" w:hAnsi="Times New Roman" w:cs="Times New Roman"/>
        </w:rPr>
        <w:fldChar w:fldCharType="begin"/>
      </w:r>
      <w:r w:rsidR="00CF017F">
        <w:rPr>
          <w:rFonts w:ascii="Times New Roman" w:hAnsi="Times New Roman" w:cs="Times New Roman"/>
        </w:rPr>
        <w:instrText xml:space="preserve"> ADDIN ZOTERO_ITEM CSL_CITATION {"citationID":"KNsEU7nw","properties":{"formattedCitation":"Edward Holt, \\uc0\\u8216{}COVID-19 Testing in Slovakia\\uc0\\u8217{} (2021) 21 The Lancet Infectious Diseases 32; see also Mads Dagnis Jensen, Kennet Lynggaard and Michael Kluth, \\uc0\\u8216{}Comparing 31 European Countries\\uc0\\u8217{} Responses to the Covid-19 Crisis\\uc0\\u8217{} in Kennet Lynggaard, Mads Dagnis Jensen and Michael Kluth (eds), {\\i{}Governments\\uc0\\u8217{} Responses to the Covid-19 Pandemic in Europe: Navigating the Perfect Storm} (Springer 2023) 461; Katarina Staronova, Nina Lackov\\uc0\\u225{} and Mat\\uc0\\u250{}\\uc0\\u353{} Sloboda, \\uc0\\u8216{}Post-Crisis Emergency Legislation Consolidation: Regulatory Quality Principles for Good Times Only?\\uc0\\u8217{} [2023] European Journal of Risk Regulation 1, 7.","plainCitation":"Edward Holt, ‘COVID-19 Testing in Slovakia’ (2021) 21 The Lancet Infectious Diseases 32; see also Mads Dagnis Jensen, Kennet Lynggaard and Michael Kluth, ‘Comparing 31 European Countries’ Responses to the Covid-19 Crisis’ in Kennet Lynggaard, Mads Dagnis Jensen and Michael Kluth (eds), Governments’ Responses to the Covid-19 Pandemic in Europe: Navigating the Perfect Storm (Springer 2023) 461; Katarina Staronova, Nina Lacková and Matúš Sloboda, ‘Post-Crisis Emergency Legislation Consolidation: Regulatory Quality Principles for Good Times Only?’ [2023] European Journal of Risk Regulation 1, 7.","noteIndex":66},"citationItems":[{"id":3459,"uris":["http://zotero.org/users/2073125/items/TR9IXFIK"],"itemData":{"id":3459,"type":"article-journal","abstract":"The decision of the Slovak Government to test all its adult population for SARS-CoV-2\ninfection sparked controversy in the country. Edward Holt reports.","container-title":"The Lancet Infectious Diseases","DOI":"10.1016/S1473-3099(20)30948-8","ISSN":"1473-3099, 1474-4457","issue":"1","journalAbbreviation":"The Lancet Infectious Diseases","language":"English","note":"publisher: Elsevier\nPMID: 33357391","page":"32","source":"www.thelancet.com","title":"COVID-19 testing in Slovakia","volume":"21","author":[{"family":"Holt","given":"Edward"}],"issued":{"date-parts":[["2021",1,1]]}}},{"id":10846,"uris":["http://zotero.org/users/2073125/items/RWKT55XF"],"itemData":{"id":10846,"type":"chapter","abstract":"Based on an author survey among the contributors to the preceding 31 country chapters, the conclusion summarises European governments’ responses to the pandemic by examining if variations in the handling of the pandemic reflect geographic South, East, North, and West cleavages. These cleavages largely correspond to different levels of affluence, economic distributional legacies, and democratic embeddedness highlighted as structural determinants of response patterns by the already substantial Covid-19 policy literature. Variations in the policy responses and dynamics of politicization are mapped and discussed. It is assessed which actors were empowered and disempowered in the policy process and if the mode of interaction between actors was altered compared to normal policymaking. Finally, the impacts on national political systems are appraised.","container-title":"Governments' Responses to the Covid-19 Pandemic in Europe: Navigating the Perfect Storm","event-place":"Cham","ISBN":"978-3-031-14145-4","language":"en","note":"DOI: 10.1007/978-3-031-14145-4_37","page":"447-468","publisher":"Springer","publisher-place":"Cham","source":"Springer Link","title":"Comparing 31 European Countries’ Responses to the Covid-19 Crisis","author":[{"family":"Jensen","given":"Mads Dagnis"},{"family":"Lynggaard","given":"Kennet"},{"family":"Kluth","given":"Michael"}],"editor":[{"family":"Lynggaard","given":"Kennet"},{"family":"Jensen","given":"Mads Dagnis"},{"family":"Kluth","given":"Michael"}],"issued":{"date-parts":[["2023"]]}},"locator":"461","label":"page","prefix":"see also"},{"id":12035,"uris":["http://zotero.org/users/2073125/items/MM2AT9LQ"],"itemData":{"id":12035,"type":"article-journal","abstract":"This article analyses how emergency legislation has affected law-making and regulatory quality principles (RQPs) before, during and after the COVID-19 pandemic (2019–2021) from stakeholders’ perspectives. It takes Slovakia as a case study, as this country was considered a high performer in the adoption of RQPs before the crisis, while empirical findings suggest a subsequent decline in their use. We argue that formal RQPs are not deeply embedded and are vulnerable to crises. In doing so, we conceptually distinguish between standard (fully following the RQPs), emergency (modified to accommodate crisis) and non-standard law-making (violating formal rules and the RQPs). In the transition from a crisis to a post-crisis context, the deployment of both emergency and non-standard law-making has become relatively permanent without proper justification having been provided. This reinforces the notion that RQPs and governance legitimacy became less important for the executive than in the pre-crisis period and emergency and non-standard regulatory law-making became institutionalised as new norms of swift law-making. All of these factors prevent stakeholders from being informed and from engaging in deliberation, which jeopardises the legitimacy of post-crisis law-making governance.","container-title":"European Journal of Risk Regulation","DOI":"10.1017/err.2023.69","ISSN":"1867-299X, 2190-8249","language":"en","note":"publisher: Cambridge University Press","page":"1-19","source":"Cambridge University Press","title":"Post-crisis Emergency Legislation Consolidation: Regulatory Quality Principles for Good Times Only?","title-short":"Post-crisis Emergency Legislation Consolidation","author":[{"family":"Staronova","given":"Katarina"},{"family":"Lacková","given":"Nina"},{"family":"Sloboda","given":"Matúš"}],"issued":{"date-parts":[["2023",10,23]]}},"locator":"7","label":"page"}],"schema":"https://github.com/citation-style-language/schema/raw/master/csl-citation.json"} </w:instrText>
      </w:r>
      <w:r w:rsidRPr="00752C15">
        <w:rPr>
          <w:rFonts w:ascii="Times New Roman" w:hAnsi="Times New Roman" w:cs="Times New Roman"/>
        </w:rPr>
        <w:fldChar w:fldCharType="separate"/>
      </w:r>
      <w:r w:rsidR="00CF017F" w:rsidRPr="00CF017F">
        <w:rPr>
          <w:rFonts w:ascii="Times New Roman" w:hAnsi="Times New Roman" w:cs="Times New Roman"/>
          <w:szCs w:val="24"/>
        </w:rPr>
        <w:t xml:space="preserve">Edward Holt, ‘COVID-19 Testing in Slovakia’ (2021) 21 The Lancet Infectious Diseases 32; see also Mads Dagnis Jensen, Kennet Lynggaard and Michael Kluth, ‘Comparing 31 European Countries’ Responses to the Covid-19 Crisis’ in Kennet Lynggaard, Mads Dagnis Jensen and Michael Kluth (eds), </w:t>
      </w:r>
      <w:r w:rsidR="00CF017F" w:rsidRPr="00CF017F">
        <w:rPr>
          <w:rFonts w:ascii="Times New Roman" w:hAnsi="Times New Roman" w:cs="Times New Roman"/>
          <w:i/>
          <w:iCs/>
          <w:szCs w:val="24"/>
        </w:rPr>
        <w:t>Governments’ Responses to the Covid-19 Pandemic in Europe: Navigating the Perfect Storm</w:t>
      </w:r>
      <w:r w:rsidR="00CF017F" w:rsidRPr="00CF017F">
        <w:rPr>
          <w:rFonts w:ascii="Times New Roman" w:hAnsi="Times New Roman" w:cs="Times New Roman"/>
          <w:szCs w:val="24"/>
        </w:rPr>
        <w:t xml:space="preserve"> (Springer 2023) 461; Katarina Staronova, Nina Lacková and Matúš Sloboda, ‘Post-Crisis Emergency Legislation Consolidation: Regulatory Quality Principles for Good Times Only?’ [2023] European Journal of Risk Regulation 1, 7.</w:t>
      </w:r>
      <w:r w:rsidRPr="00752C15">
        <w:rPr>
          <w:rFonts w:ascii="Times New Roman" w:hAnsi="Times New Roman" w:cs="Times New Roman"/>
        </w:rPr>
        <w:fldChar w:fldCharType="end"/>
      </w:r>
    </w:p>
  </w:footnote>
  <w:footnote w:id="68">
    <w:p w14:paraId="348927D4" w14:textId="36BD1465" w:rsidR="00F91E58" w:rsidRPr="00752C15" w:rsidRDefault="00F91E58" w:rsidP="00752C15">
      <w:pPr>
        <w:pStyle w:val="FootnoteText"/>
        <w:jc w:val="both"/>
        <w:rPr>
          <w:rFonts w:ascii="Times New Roman" w:hAnsi="Times New Roman" w:cs="Times New Roman"/>
          <w:lang w:val="en-IN"/>
        </w:rPr>
      </w:pPr>
      <w:r w:rsidRPr="00DC52BD">
        <w:rPr>
          <w:rStyle w:val="FootnoteReference"/>
        </w:rPr>
        <w:footnoteRef/>
      </w:r>
      <w:r w:rsidR="00CB6942" w:rsidRPr="00752C15">
        <w:rPr>
          <w:rFonts w:ascii="Times New Roman" w:hAnsi="Times New Roman" w:cs="Times New Roman"/>
        </w:rPr>
        <w:t xml:space="preserve"> </w:t>
      </w:r>
      <w:r w:rsidR="00CB6942" w:rsidRPr="00752C15">
        <w:rPr>
          <w:rFonts w:ascii="Times New Roman" w:hAnsi="Times New Roman" w:cs="Times New Roman"/>
        </w:rPr>
        <w:fldChar w:fldCharType="begin"/>
      </w:r>
      <w:r w:rsidR="00CB6942" w:rsidRPr="00752C15">
        <w:rPr>
          <w:rFonts w:ascii="Times New Roman" w:hAnsi="Times New Roman" w:cs="Times New Roman"/>
        </w:rPr>
        <w:instrText xml:space="preserve"> ADDIN ZOTERO_ITEM CSL_CITATION {"citationID":"9e8wDu0r","properties":{"formattedCitation":"Ronald I\\uc0\\u382{}ip, \\uc0\\u8216{}Pyrrhovo v\\uc0\\u237{}\\uc0\\u357{}azstvo Igora Matovi\\uc0\\u269{}a, v ktorom stratil to najcennej\\uc0\\u353{}ie \\uc0\\u8211{} d\\uc0\\u244{}veru [Pyrrhic Victory of Igor Matovi\\uc0\\u269{} in Which He Lost the Greatest Value \\uc0\\u8211{} Trust]\\uc0\\u8217{} ({\\i{}Trend}, 31 October 2020) &lt;https://www.trend.sk/nazory-a-komentare/pyrrhovo-vitazstvo-igora-matovica-ktorom-stratil-to-najcennejsie-doveru&gt;.","plainCitation":"Ronald Ižip, ‘Pyrrhovo víťazstvo Igora Matoviča, v ktorom stratil to najcennejšie – dôveru [Pyrrhic Victory of Igor Matovič in Which He Lost the Greatest Value – Trust]’ (Trend, 31 October 2020) &lt;https://www.trend.sk/nazory-a-komentare/pyrrhovo-vitazstvo-igora-matovica-ktorom-stratil-to-najcennejsie-doveru&gt;.","noteIndex":67},"citationItems":[{"id":12061,"uris":["http://zotero.org/users/2073125/items/CYVIWNY4"],"itemData":{"id":12061,"type":"webpage","container-title":"Trend","language":"SK","title":"Pyrrhovo víťazstvo Igora Matoviča, v ktorom stratil to najcennejšie – dôveru [Pyrrhic Victory of Igor Matovič in Which He Lost the Greatest Value – Trust]","URL":"https://www.trend.sk/nazory-a-komentare/pyrrhovo-vitazstvo-igora-matovica-ktorom-stratil-to-najcennejsie-doveru","author":[{"family":"Ižip","given":"Ronald"}],"issued":{"date-parts":[["2020",10,31]]}}}],"schema":"https://github.com/citation-style-language/schema/raw/master/csl-citation.json"} </w:instrText>
      </w:r>
      <w:r w:rsidR="00CB6942" w:rsidRPr="00752C15">
        <w:rPr>
          <w:rFonts w:ascii="Times New Roman" w:hAnsi="Times New Roman" w:cs="Times New Roman"/>
        </w:rPr>
        <w:fldChar w:fldCharType="separate"/>
      </w:r>
      <w:r w:rsidR="00CB6942" w:rsidRPr="00752C15">
        <w:rPr>
          <w:rFonts w:ascii="Times New Roman" w:hAnsi="Times New Roman" w:cs="Times New Roman"/>
          <w:szCs w:val="24"/>
        </w:rPr>
        <w:t>Ronald Ižip, ‘Pyrrhovo víťazstvo Igora Matoviča, v ktorom stratil to najcennejšie – dôveru [Pyrrhic Victory of Igor Matovič in Which He Lost the Greatest Value – Trust]’ (</w:t>
      </w:r>
      <w:r w:rsidR="00CB6942" w:rsidRPr="00752C15">
        <w:rPr>
          <w:rFonts w:ascii="Times New Roman" w:hAnsi="Times New Roman" w:cs="Times New Roman"/>
          <w:i/>
          <w:iCs/>
          <w:szCs w:val="24"/>
        </w:rPr>
        <w:t>Trend</w:t>
      </w:r>
      <w:r w:rsidR="00CB6942" w:rsidRPr="00752C15">
        <w:rPr>
          <w:rFonts w:ascii="Times New Roman" w:hAnsi="Times New Roman" w:cs="Times New Roman"/>
          <w:szCs w:val="24"/>
        </w:rPr>
        <w:t>, 31 October 2020) &lt;https://www.trend.sk/nazory-a-komentare/pyrrhovo-vitazstvo-igora-matovica-ktorom-stratil-to-najcennejsie-doveru&gt;.</w:t>
      </w:r>
      <w:r w:rsidR="00CB6942" w:rsidRPr="00752C15">
        <w:rPr>
          <w:rFonts w:ascii="Times New Roman" w:hAnsi="Times New Roman" w:cs="Times New Roman"/>
        </w:rPr>
        <w:fldChar w:fldCharType="end"/>
      </w:r>
      <w:r w:rsidRPr="00752C15">
        <w:rPr>
          <w:rFonts w:ascii="Times New Roman" w:hAnsi="Times New Roman" w:cs="Times New Roman"/>
        </w:rPr>
        <w:t xml:space="preserve"> </w:t>
      </w:r>
      <w:r w:rsidRPr="00752C15">
        <w:rPr>
          <w:rFonts w:ascii="Times New Roman" w:hAnsi="Times New Roman" w:cs="Times New Roman"/>
          <w:lang w:val="en-IN"/>
        </w:rPr>
        <w:t xml:space="preserve">The PM called those (experts, activists, journalists) questioning his decisions in a denigratory manner (‘wisdom-shitters’). </w:t>
      </w:r>
    </w:p>
  </w:footnote>
  <w:footnote w:id="69">
    <w:p w14:paraId="38626E1C" w14:textId="6CE27066" w:rsidR="003D3EC5" w:rsidRPr="00752C15" w:rsidRDefault="003D3EC5" w:rsidP="00752C15">
      <w:pPr>
        <w:pStyle w:val="FootnoteText"/>
        <w:jc w:val="both"/>
        <w:rPr>
          <w:rFonts w:ascii="Times New Roman" w:hAnsi="Times New Roman" w:cs="Times New Roman"/>
        </w:rPr>
      </w:pPr>
      <w:r w:rsidRPr="00DC52BD">
        <w:rPr>
          <w:rStyle w:val="FootnoteReference"/>
        </w:rPr>
        <w:footnoteRef/>
      </w:r>
      <w:r w:rsidRPr="00752C15">
        <w:rPr>
          <w:rFonts w:ascii="Times New Roman" w:hAnsi="Times New Roman" w:cs="Times New Roman"/>
        </w:rPr>
        <w:t xml:space="preserve"> In December 2021, the PM </w:t>
      </w:r>
      <w:r w:rsidR="00AA3E76" w:rsidRPr="00752C15">
        <w:rPr>
          <w:rFonts w:ascii="Times New Roman" w:hAnsi="Times New Roman" w:cs="Times New Roman"/>
        </w:rPr>
        <w:t xml:space="preserve">claimed that he does not ‘manage the coronavirus. The coronavirus manages us.’ </w:t>
      </w:r>
    </w:p>
    <w:p w14:paraId="45FEDCA2" w14:textId="5006FA4C" w:rsidR="00AA3E76" w:rsidRPr="00752C15" w:rsidRDefault="003768BA" w:rsidP="00752C15">
      <w:pPr>
        <w:pStyle w:val="FootnoteText"/>
        <w:jc w:val="both"/>
        <w:rPr>
          <w:rFonts w:ascii="Times New Roman" w:hAnsi="Times New Roman" w:cs="Times New Roman"/>
        </w:rPr>
      </w:pPr>
      <w:r w:rsidRPr="00752C15">
        <w:rPr>
          <w:rFonts w:ascii="Times New Roman" w:hAnsi="Times New Roman" w:cs="Times New Roman"/>
        </w:rPr>
        <w:fldChar w:fldCharType="begin"/>
      </w:r>
      <w:r w:rsidRPr="00752C15">
        <w:rPr>
          <w:rFonts w:ascii="Times New Roman" w:hAnsi="Times New Roman" w:cs="Times New Roman"/>
        </w:rPr>
        <w:instrText xml:space="preserve"> ADDIN ZOTERO_ITEM CSL_CITATION {"citationID":"CxyuEWk5","properties":{"formattedCitation":"Zuzana Par\\uc0\\u225{}kov\\uc0\\u225{}, \\uc0\\u8216{}Matovi\\uc0\\u269{}: Bez podpory prezidentky nem\\uc0\\u225{}m silu pretl\\uc0\\u225{}\\uc0\\u269{}a\\uc0\\u357{} \\uc0\\u271{}al\\uc0\\u353{}ie testovanie [Matovi\\uc0\\u269{}: Without the President\\uc0\\u8217{}s Support I Have No Strength to Push Further Testing]\\uc0\\u8217{} ({\\i{}Spr\\uc0\\u225{}vy RTVS}, 7 December 2020) &lt;https://spravy.rtvs.sk/2020/12/matovic-bez-podpory-prezidentky-nemam-silu-pretlacat-dalsie-testovanie/&gt;.","plainCitation":"Zuzana Paráková, ‘Matovič: Bez podpory prezidentky nemám silu pretláčať ďalšie testovanie [Matovič: Without the President’s Support I Have No Strength to Push Further Testing]’ (Správy RTVS, 7 December 2020) &lt;https://spravy.rtvs.sk/2020/12/matovic-bez-podpory-prezidentky-nemam-silu-pretlacat-dalsie-testovanie/&gt;.","noteIndex":68},"citationItems":[{"id":12063,"uris":["http://zotero.org/users/2073125/items/HU5BPHEM"],"itemData":{"id":12063,"type":"webpage","abstract":"Chce sa s ňou stretnúť, aby ju presvedčil.","container-title":"Správy RTVS","language":"sk-SK","title":"Matovič: Bez podpory prezidentky nemám silu pretláčať ďalšie testovanie [Matovič: Without the President's Support I Have No Strength to Push Further Testing]","title-short":"Matovič","URL":"https://spravy.rtvs.sk/2020/12/matovic-bez-podpory-prezidentky-nemam-silu-pretlacat-dalsie-testovanie/","author":[{"family":"Paráková","given":"Zuzana"}],"issued":{"date-parts":[["2020",12,7]]}}}],"schema":"https://github.com/citation-style-language/schema/raw/master/csl-citation.json"} </w:instrText>
      </w:r>
      <w:r w:rsidRPr="00752C15">
        <w:rPr>
          <w:rFonts w:ascii="Times New Roman" w:hAnsi="Times New Roman" w:cs="Times New Roman"/>
        </w:rPr>
        <w:fldChar w:fldCharType="separate"/>
      </w:r>
      <w:r w:rsidRPr="00752C15">
        <w:rPr>
          <w:rFonts w:ascii="Times New Roman" w:hAnsi="Times New Roman" w:cs="Times New Roman"/>
          <w:szCs w:val="24"/>
        </w:rPr>
        <w:t>Zuzana Paráková, ‘Matovič: Bez podpory prezidentky nemám silu pretláčať ďalšie testovanie [Matovič: Without the President’s Support I Have No Strength to Push Further Testing]’ (</w:t>
      </w:r>
      <w:r w:rsidRPr="00752C15">
        <w:rPr>
          <w:rFonts w:ascii="Times New Roman" w:hAnsi="Times New Roman" w:cs="Times New Roman"/>
          <w:i/>
          <w:iCs/>
          <w:szCs w:val="24"/>
        </w:rPr>
        <w:t>Správy RTVS</w:t>
      </w:r>
      <w:r w:rsidRPr="00752C15">
        <w:rPr>
          <w:rFonts w:ascii="Times New Roman" w:hAnsi="Times New Roman" w:cs="Times New Roman"/>
          <w:szCs w:val="24"/>
        </w:rPr>
        <w:t>, 7 December 2020) &lt;https://spravy.rtvs.sk/2020/12/matovic-bez-podpory-prezidentky-nemam-silu-pretlacat-dalsie-testovanie/&gt;.</w:t>
      </w:r>
      <w:r w:rsidRPr="00752C15">
        <w:rPr>
          <w:rFonts w:ascii="Times New Roman" w:hAnsi="Times New Roman" w:cs="Times New Roman"/>
        </w:rPr>
        <w:fldChar w:fldCharType="end"/>
      </w:r>
      <w:r w:rsidR="00AA3E76" w:rsidRPr="00752C15">
        <w:rPr>
          <w:rFonts w:ascii="Times New Roman" w:hAnsi="Times New Roman" w:cs="Times New Roman"/>
        </w:rPr>
        <w:t xml:space="preserve"> </w:t>
      </w:r>
    </w:p>
  </w:footnote>
  <w:footnote w:id="70">
    <w:p w14:paraId="26E7BC18" w14:textId="4629D048" w:rsidR="00BA01E7" w:rsidRPr="00752C15" w:rsidRDefault="00BA01E7" w:rsidP="00752C15">
      <w:pPr>
        <w:pStyle w:val="FootnoteText"/>
        <w:jc w:val="both"/>
        <w:rPr>
          <w:rFonts w:ascii="Times New Roman" w:hAnsi="Times New Roman" w:cs="Times New Roman"/>
          <w:lang w:val="en-IN"/>
        </w:rPr>
      </w:pPr>
      <w:r w:rsidRPr="00DC52BD">
        <w:rPr>
          <w:rStyle w:val="FootnoteReference"/>
        </w:rPr>
        <w:footnoteRef/>
      </w:r>
      <w:r w:rsidRPr="00752C15">
        <w:rPr>
          <w:rFonts w:ascii="Times New Roman" w:hAnsi="Times New Roman" w:cs="Times New Roman"/>
        </w:rPr>
        <w:t xml:space="preserve"> </w:t>
      </w:r>
      <w:r w:rsidRPr="00752C15">
        <w:rPr>
          <w:rFonts w:ascii="Times New Roman" w:hAnsi="Times New Roman" w:cs="Times New Roman"/>
        </w:rPr>
        <w:fldChar w:fldCharType="begin"/>
      </w:r>
      <w:r w:rsidR="003F255E" w:rsidRPr="00752C15">
        <w:rPr>
          <w:rFonts w:ascii="Times New Roman" w:hAnsi="Times New Roman" w:cs="Times New Roman"/>
        </w:rPr>
        <w:instrText xml:space="preserve"> ADDIN ZOTERO_ITEM CSL_CITATION {"citationID":"FWqqqwh1","properties":{"formattedCitation":"Max Steuer, \\uc0\\u8216{}Slovakia\\uc0\\u8217{}s Democracy and the COVID-19 Pandemic: When Executive Communication Fails\\uc0\\u8217{} ({\\i{}Verfassungsblog}, 26 February 2021) &lt;https://verfassungsblog.de/slovakias-democracy-and-the-covid-19-pandemic-when-executive-communication-fails/&gt;.","plainCitation":"Max Steuer, ‘Slovakia’s Democracy and the COVID-19 Pandemic: When Executive Communication Fails’ (Verfassungsblog, 26 February 2021) &lt;https://verfassungsblog.de/slovakias-democracy-and-the-covid-19-pandemic-when-executive-communication-fails/&gt;.","noteIndex":69},"citationItems":[{"id":3769,"uris":["http://zotero.org/users/2073125/items/7E3LPSQ4"],"itemData":{"id":3769,"type":"post-weblog","abstract":"In spring 2020, Slovakia was praised for minimizing the instances of the COVID-19 pandemic. By early 2021, however, with Slovakia among the top five countries with the highest increase","container-title":"Verfassungsblog","language":"de-DE","title":"Slovakia’s Democracy and the COVID-19 Pandemic: When Executive Communication Fails","title-short":"Slovakia’s Democracy and the COVID-19 Pandemic","URL":"https://verfassungsblog.de/slovakias-democracy-and-the-covid-19-pandemic-when-executive-communication-fails/","author":[{"family":"Steuer","given":"Max"}],"issued":{"date-parts":[["2021",2,26]]}}}],"schema":"https://github.com/citation-style-language/schema/raw/master/csl-citation.json"} </w:instrText>
      </w:r>
      <w:r w:rsidRPr="00752C15">
        <w:rPr>
          <w:rFonts w:ascii="Times New Roman" w:hAnsi="Times New Roman" w:cs="Times New Roman"/>
        </w:rPr>
        <w:fldChar w:fldCharType="separate"/>
      </w:r>
      <w:r w:rsidR="002D7CBA" w:rsidRPr="00752C15">
        <w:rPr>
          <w:rFonts w:ascii="Times New Roman" w:hAnsi="Times New Roman" w:cs="Times New Roman"/>
        </w:rPr>
        <w:t>Max Steuer, ‘Slovakia’s Democracy and the COVID-19 Pandemic: When Executive Communication Fails’ (</w:t>
      </w:r>
      <w:r w:rsidR="002D7CBA" w:rsidRPr="00752C15">
        <w:rPr>
          <w:rFonts w:ascii="Times New Roman" w:hAnsi="Times New Roman" w:cs="Times New Roman"/>
          <w:i/>
          <w:iCs/>
        </w:rPr>
        <w:t>Verfassungsblog</w:t>
      </w:r>
      <w:r w:rsidR="002D7CBA" w:rsidRPr="00752C15">
        <w:rPr>
          <w:rFonts w:ascii="Times New Roman" w:hAnsi="Times New Roman" w:cs="Times New Roman"/>
        </w:rPr>
        <w:t>, 26 February 2021) &lt;https://verfassungsblog.de/slovakias-democracy-and-the-covid-19-pandemic-when-executive-communication-fails/&gt;.</w:t>
      </w:r>
      <w:r w:rsidRPr="00752C15">
        <w:rPr>
          <w:rFonts w:ascii="Times New Roman" w:hAnsi="Times New Roman" w:cs="Times New Roman"/>
        </w:rPr>
        <w:fldChar w:fldCharType="end"/>
      </w:r>
    </w:p>
  </w:footnote>
  <w:footnote w:id="71">
    <w:p w14:paraId="6457BF4A" w14:textId="21346F62" w:rsidR="00646459" w:rsidRPr="00752C15" w:rsidRDefault="00646459" w:rsidP="00752C15">
      <w:pPr>
        <w:pStyle w:val="FootnoteText"/>
        <w:jc w:val="both"/>
        <w:rPr>
          <w:rFonts w:ascii="Times New Roman" w:hAnsi="Times New Roman" w:cs="Times New Roman"/>
          <w:lang w:val="en-US"/>
        </w:rPr>
      </w:pPr>
      <w:r w:rsidRPr="00DC52BD">
        <w:rPr>
          <w:rStyle w:val="FootnoteReference"/>
        </w:rPr>
        <w:footnoteRef/>
      </w:r>
      <w:r w:rsidRPr="00752C15">
        <w:rPr>
          <w:rFonts w:ascii="Times New Roman" w:hAnsi="Times New Roman" w:cs="Times New Roman"/>
        </w:rPr>
        <w:t xml:space="preserve"> </w:t>
      </w:r>
      <w:r w:rsidRPr="00752C15">
        <w:rPr>
          <w:rFonts w:ascii="Times New Roman" w:hAnsi="Times New Roman" w:cs="Times New Roman"/>
        </w:rPr>
        <w:fldChar w:fldCharType="begin"/>
      </w:r>
      <w:r w:rsidR="003F255E" w:rsidRPr="00752C15">
        <w:rPr>
          <w:rFonts w:ascii="Times New Roman" w:hAnsi="Times New Roman" w:cs="Times New Roman"/>
        </w:rPr>
        <w:instrText xml:space="preserve"> ADDIN ZOTERO_ITEM CSL_CITATION {"citationID":"8kn34lKU","properties":{"formattedCitation":"Petra Guasti and Jaroslav B\\uc0\\u237{}lek, \\uc0\\u8216{}The Demand Side of Vaccine Politics and Pandemic Illiberalism\\uc0\\u8217{} (2022) 38 East European Politics 594, 606\\uc0\\u8211{}607.","plainCitation":"Petra Guasti and Jaroslav Bílek, ‘The Demand Side of Vaccine Politics and Pandemic Illiberalism’ (2022) 38 East European Politics 594, 606–607.","noteIndex":70},"citationItems":[{"id":10831,"uris":["http://zotero.org/users/2073125/items/SF6G35ZW"],"itemData":{"id":10831,"type":"article-journal","abstract":"We take the demand-side perspective of Sputnik V, trying to answer why facing vaccine scarcity, some countries opt for Sputnik V, and others do not. To show how the pandemic tests the institutional safeguards and soft guardrails of liberal democracy, we compiled a unique dataset and combined statistical analysis and case studies. While our quantitative analysis shows that the illiberalism of the party in power is the main explanatory factor in the import of Sputnik V, our qualitative case studies illustrate under what conditions institutional guardrails withstand the pressure of populist and illiberal leaders.","container-title":"East European Politics","DOI":"10.1080/21599165.2022.2122047","ISSN":"2159-9165","issue":"4","note":"publisher: Routledge\n_eprint: https://doi.org/10.1080/21599165.2022.2122047","page":"594-616","source":"Taylor and Francis+NEJM","title":"The demand side of vaccine politics and pandemic illiberalism","volume":"38","author":[{"family":"Guasti","given":"Petra"},{"family":"Bílek","given":"Jaroslav"}],"issued":{"date-parts":[["2022",10,2]]}},"locator":"606-607","label":"page"}],"schema":"https://github.com/citation-style-language/schema/raw/master/csl-citation.json"} </w:instrText>
      </w:r>
      <w:r w:rsidRPr="00752C15">
        <w:rPr>
          <w:rFonts w:ascii="Times New Roman" w:hAnsi="Times New Roman" w:cs="Times New Roman"/>
        </w:rPr>
        <w:fldChar w:fldCharType="separate"/>
      </w:r>
      <w:r w:rsidR="00BF3BC4" w:rsidRPr="00752C15">
        <w:rPr>
          <w:rFonts w:ascii="Times New Roman" w:hAnsi="Times New Roman" w:cs="Times New Roman"/>
        </w:rPr>
        <w:t>Petra Guasti and Jaroslav Bílek, ‘The Demand Side of Vaccine Politics and Pandemic Illiberalism’ (2022) 38 East European Politics 594, 606–607.</w:t>
      </w:r>
      <w:r w:rsidRPr="00752C15">
        <w:rPr>
          <w:rFonts w:ascii="Times New Roman" w:hAnsi="Times New Roman" w:cs="Times New Roman"/>
        </w:rPr>
        <w:fldChar w:fldCharType="end"/>
      </w:r>
    </w:p>
  </w:footnote>
  <w:footnote w:id="72">
    <w:p w14:paraId="0C35A242" w14:textId="378AF70A" w:rsidR="00C93B12" w:rsidRPr="00752C15" w:rsidRDefault="00C93B12" w:rsidP="00752C15">
      <w:pPr>
        <w:pStyle w:val="FootnoteText"/>
        <w:jc w:val="both"/>
        <w:rPr>
          <w:rFonts w:ascii="Times New Roman" w:hAnsi="Times New Roman" w:cs="Times New Roman"/>
          <w:lang w:val="en-US"/>
        </w:rPr>
      </w:pPr>
      <w:r w:rsidRPr="00DC52BD">
        <w:rPr>
          <w:rStyle w:val="FootnoteReference"/>
        </w:rPr>
        <w:footnoteRef/>
      </w:r>
      <w:r w:rsidRPr="00752C15">
        <w:rPr>
          <w:rFonts w:ascii="Times New Roman" w:hAnsi="Times New Roman" w:cs="Times New Roman"/>
        </w:rPr>
        <w:t xml:space="preserve"> </w:t>
      </w:r>
      <w:r w:rsidRPr="00752C15">
        <w:rPr>
          <w:rFonts w:ascii="Times New Roman" w:hAnsi="Times New Roman" w:cs="Times New Roman"/>
        </w:rPr>
        <w:fldChar w:fldCharType="begin"/>
      </w:r>
      <w:r w:rsidR="003F255E" w:rsidRPr="00752C15">
        <w:rPr>
          <w:rFonts w:ascii="Times New Roman" w:hAnsi="Times New Roman" w:cs="Times New Roman"/>
        </w:rPr>
        <w:instrText xml:space="preserve"> ADDIN ZOTERO_ITEM CSL_CITATION {"citationID":"VT59eBHc","properties":{"formattedCitation":"Alberto Alemanno, \\uc0\\u8216{}Taming COVID-19 by Regulation: An Opportunity for Self-Reflection\\uc0\\u8217{} (2020) 11 European Journal of Risk Regulation 187, 194.","plainCitation":"Alberto Alemanno, ‘Taming COVID-19 by Regulation: An Opportunity for Self-Reflection’ (2020) 11 European Journal of Risk Regulation 187, 194.","noteIndex":71},"citationItems":[{"id":10753,"uris":["http://zotero.org/users/2073125/items/2GCR76Z5"],"itemData":{"id":10753,"type":"article-journal","abstract":"//static.cambridge.org/content/id/urn%3Acambridge.org%3Aid%3Aarticle%3AS1867299X20000434/resource/name/firstPage-S1867299X20000434a.jpg","container-title":"European Journal of Risk Regulation","DOI":"10.1017/err.2020.43","ISSN":"1867-299X, 2190-8249","issue":"2","language":"en","note":"publisher: Cambridge University Press","page":"187-194","source":"Cambridge University Press","title":"Taming COVID-19 by Regulation: An Opportunity for Self-Reflection","title-short":"Taming COVID-19 by Regulation","volume":"11","author":[{"family":"Alemanno","given":"Alberto"}],"issued":{"date-parts":[["2020",6]]}},"locator":"194","label":"page"}],"schema":"https://github.com/citation-style-language/schema/raw/master/csl-citation.json"} </w:instrText>
      </w:r>
      <w:r w:rsidRPr="00752C15">
        <w:rPr>
          <w:rFonts w:ascii="Times New Roman" w:hAnsi="Times New Roman" w:cs="Times New Roman"/>
        </w:rPr>
        <w:fldChar w:fldCharType="separate"/>
      </w:r>
      <w:r w:rsidRPr="00752C15">
        <w:rPr>
          <w:rFonts w:ascii="Times New Roman" w:hAnsi="Times New Roman" w:cs="Times New Roman"/>
        </w:rPr>
        <w:t>Alberto Alemanno, ‘Taming COVID-19 by Regulation: An Opportunity for Self-Reflection’ (2020) 11 European Journal of Risk Regulation 187, 194.</w:t>
      </w:r>
      <w:r w:rsidRPr="00752C15">
        <w:rPr>
          <w:rFonts w:ascii="Times New Roman" w:hAnsi="Times New Roman" w:cs="Times New Roman"/>
        </w:rPr>
        <w:fldChar w:fldCharType="end"/>
      </w:r>
    </w:p>
  </w:footnote>
  <w:footnote w:id="73">
    <w:p w14:paraId="228FBE62" w14:textId="5EE5D617" w:rsidR="000C0F7C" w:rsidRPr="00752C15" w:rsidRDefault="000C0F7C" w:rsidP="00752C15">
      <w:pPr>
        <w:pStyle w:val="FootnoteText"/>
        <w:jc w:val="both"/>
        <w:rPr>
          <w:rFonts w:ascii="Times New Roman" w:hAnsi="Times New Roman" w:cs="Times New Roman"/>
          <w:lang w:val="en-US"/>
        </w:rPr>
      </w:pPr>
      <w:r w:rsidRPr="00DC52BD">
        <w:rPr>
          <w:rStyle w:val="FootnoteReference"/>
        </w:rPr>
        <w:footnoteRef/>
      </w:r>
      <w:r w:rsidRPr="00752C15">
        <w:rPr>
          <w:rFonts w:ascii="Times New Roman" w:hAnsi="Times New Roman" w:cs="Times New Roman"/>
        </w:rPr>
        <w:t xml:space="preserve"> </w:t>
      </w:r>
      <w:r w:rsidRPr="00752C15">
        <w:rPr>
          <w:rFonts w:ascii="Times New Roman" w:hAnsi="Times New Roman" w:cs="Times New Roman"/>
        </w:rPr>
        <w:fldChar w:fldCharType="begin"/>
      </w:r>
      <w:r w:rsidR="003F255E" w:rsidRPr="00752C15">
        <w:rPr>
          <w:rFonts w:ascii="Times New Roman" w:hAnsi="Times New Roman" w:cs="Times New Roman"/>
        </w:rPr>
        <w:instrText xml:space="preserve"> ADDIN ZOTERO_ITEM CSL_CITATION {"citationID":"rDxgWXcs","properties":{"formattedCitation":"Guasti and Bu\\uc0\\u353{}t\\uc0\\u237{}kov\\uc0\\u225{} (n 15) 543.","plainCitation":"Guasti and Buštíková (n 15) 543.","noteIndex":72},"citationItems":[{"id":10243,"uris":["http://zotero.org/users/2073125/items/Y8KKIH5T"],"itemData":{"id":10243,"type":"article-journal","abstract":"Is Covid-19 undermining European democracies? Recent scholarship overlooks the fact that most pandemic-related erosions of democracy can be attributed to illiberal inertia long in place before 2019. Did the democratic decay occur during the pandemic or due to the pandemic? We analyse the extent to which pandemic power grabs succeeded and failed in Europe with special attention to the Czech Republic, Hungary, Poland, and Slovakia. The executive power of the purse was an opportunity to abuse state resources. Governments that engage in the “pandemic heist” with impunity can be directly linked to a power grab due to the pandemic.","container-title":"East European Politics","DOI":"10.1080/21599165.2022.2122049","ISSN":"2159-9165","issue":"4","note":"publisher: Routledge\n_eprint: https://doi.org/10.1080/21599165.2022.2122049","page":"529-550","source":"Taylor and Francis+NEJM","title":"Pandemic power grab","volume":"38","author":[{"family":"Guasti","given":"Petra"},{"family":"Buštíková","given":"Lenka"}],"issued":{"date-parts":[["2022",10,2]]}},"locator":"543","label":"page"}],"schema":"https://github.com/citation-style-language/schema/raw/master/csl-citation.json"} </w:instrText>
      </w:r>
      <w:r w:rsidRPr="00752C15">
        <w:rPr>
          <w:rFonts w:ascii="Times New Roman" w:hAnsi="Times New Roman" w:cs="Times New Roman"/>
        </w:rPr>
        <w:fldChar w:fldCharType="separate"/>
      </w:r>
      <w:r w:rsidR="003F255E" w:rsidRPr="00752C15">
        <w:rPr>
          <w:rFonts w:ascii="Times New Roman" w:hAnsi="Times New Roman" w:cs="Times New Roman"/>
          <w:szCs w:val="24"/>
        </w:rPr>
        <w:t>Guasti and Buštíková (n 15) 543.</w:t>
      </w:r>
      <w:r w:rsidRPr="00752C15">
        <w:rPr>
          <w:rFonts w:ascii="Times New Roman" w:hAnsi="Times New Roman" w:cs="Times New Roman"/>
        </w:rPr>
        <w:fldChar w:fldCharType="end"/>
      </w:r>
    </w:p>
  </w:footnote>
  <w:footnote w:id="74">
    <w:p w14:paraId="1C47B69E" w14:textId="49AF9555" w:rsidR="00866CFC" w:rsidRPr="00752C15" w:rsidRDefault="00866CFC" w:rsidP="00752C15">
      <w:pPr>
        <w:pStyle w:val="FootnoteText"/>
        <w:jc w:val="both"/>
        <w:rPr>
          <w:rFonts w:ascii="Times New Roman" w:hAnsi="Times New Roman" w:cs="Times New Roman"/>
          <w:lang w:val="sk-SK"/>
        </w:rPr>
      </w:pPr>
      <w:r w:rsidRPr="00DC52BD">
        <w:rPr>
          <w:rStyle w:val="FootnoteReference"/>
        </w:rPr>
        <w:footnoteRef/>
      </w:r>
      <w:r w:rsidRPr="00752C15">
        <w:rPr>
          <w:rFonts w:ascii="Times New Roman" w:hAnsi="Times New Roman" w:cs="Times New Roman"/>
        </w:rPr>
        <w:t xml:space="preserve"> </w:t>
      </w:r>
      <w:r w:rsidRPr="00752C15">
        <w:rPr>
          <w:rFonts w:ascii="Times New Roman" w:hAnsi="Times New Roman" w:cs="Times New Roman"/>
        </w:rPr>
        <w:fldChar w:fldCharType="begin"/>
      </w:r>
      <w:r w:rsidR="003F255E" w:rsidRPr="00752C15">
        <w:rPr>
          <w:rFonts w:ascii="Times New Roman" w:hAnsi="Times New Roman" w:cs="Times New Roman"/>
        </w:rPr>
        <w:instrText xml:space="preserve"> ADDIN ZOTERO_ITEM CSL_CITATION {"citationID":"FSTeIop3","properties":{"formattedCitation":"Michal Vav\\uc0\\u345{}\\uc0\\u237{}k and Siyao Qin, \\uc0\\u8216{}Politicization of Anti-Pandemic Measures in Europe: Cleavage Politics and Divided Publics\\uc0\\u8217{} in Simon XB Zhao and others (eds), {\\i{}Comparative Studies on Pandemic Control Policies and the Resilience of Society} (Springer 2023) 196; on the narratives of the far right, see also Steuer, \\uc0\\u8216{}The Extreme Right as a Defender of Human Rights?\\uc0\\u8217{} (n 48).","plainCitation":"Michal Vavřík and Siyao Qin, ‘Politicization of Anti-Pandemic Measures in Europe: Cleavage Politics and Divided Publics’ in Simon XB Zhao and others (eds), Comparative Studies on Pandemic Control Policies and the Resilience of Society (Springer 2023) 196; on the narratives of the far right, see also Steuer, ‘The Extreme Right as a Defender of Human Rights?’ (n 48).","noteIndex":73},"citationItems":[{"id":10793,"uris":["http://zotero.org/users/2073125/items/IQXIXV3F"],"itemData":{"id":10793,"type":"chapter","abstract":"This chapter applies the conceptual framework of cleavage theory to explore the politicization of anti-pandemic measures in Europe. The authors used secondary analysis of data from Chapel Hill Expert Survey and Eurobarometer public opinion surveys conducted in 2020 and 2021 to map differences over anti-pandemic measures onto existing political cleavages and divides. In the early stages of the pandemic, political parties critical of government redistribution were more likely to oppose containment measures, but national circumstances played an important role. The data suggest that differences in public attitudes to anti-pandemic measures were moderately associated with variables indicating transnational cleavage, but not with class cleavage. Perceived justifiability of anti-pandemic measures and lower vaccination intent was commonplace especially among people with negative views of the European Union and globalization.","container-title":"Comparative Studies on Pandemic Control Policies and the Resilience of Society","event-place":"Singapore","ISBN":"978-981-19999-3-2","language":"en","note":"DOI: 10.1007/978-981-19-9993-2_9","page":"181-200","publisher":"Springer","publisher-place":"Singapore","source":"Springer Link","title":"Politicization of Anti-Pandemic Measures in Europe: Cleavage Politics and Divided Publics","title-short":"Politicization of Anti-Pandemic Measures in Europe","author":[{"family":"Vavřík","given":"Michal"},{"family":"Qin","given":"Siyao"}],"editor":[{"family":"Zhao","given":"Simon X. B."},{"family":"Chan","given":"Kam Tong"},{"family":"Çolakoğlu","given":"Selçuk"},{"family":"Zhang","given":"Qiaoyun"},{"family":"Yan","given":"Bo"}],"issued":{"date-parts":[["2023"]]}},"locator":"196","label":"page"},{"id":4206,"uris":["http://zotero.org/users/2073125/items/BSZQC59S"],"itemData":{"id":4206,"type":"article-journal","abstract":"During the COVID-19 pandemic, the protection of public health became a political priority worldwide. Slovakia’s COVID-19 response was initially praised as a global success. However, major rights restrictions were introduced in spring 2020, with some of these endorsed by the parliament. This article uses = Rossiter’s and Schmitt’s concepts of the exception and Agamben’s distinction between life and survival to highlight the risks pertaining to the framing of the protection of public health as contradictory to human rights guarantees. It investigates how human rights were discussed by Slovak parliamentarians in relation to key legislation, that introduced a COVID-19 contact tracing app and allowed repeated prolongation of health emergencies by the executive with parliamentary approval. The findings indicate that democratic parliamentarians prioritized public health considerations framed in terms of security and effectiveness rather than rights, dissociating biological survival from political life. In contrast, extreme political actors became outspoken critics of emergencies, referring to human rights. As such, the deliberations represent a missed opportunity by democratic legislators to justify public health protection via a human rights lens and risk undermining democracy in Slovakia.","container-title":"Laws","DOI":"10.3390/laws11020017","ISSN":"2075-471X","issue":"2","language":"en","license":"http://creativecommons.org/licenses/by/3.0/","note":"number: 2\npublisher: Multidisciplinary Digital Publishing Institute","page":"17","source":"www.mdpi.com","title":"The Extreme Right as a Defender of Human Rights? Parliamentary Debates on COVID-19 Emergency Legislation in Slovakia","title-short":"The Extreme Right as a Defender of Human Rights?","volume":"11","author":[{"family":"Steuer","given":"Max"}],"issued":{"date-parts":[["2022",4]]}},"label":"page","prefix":"on the narratives of the far right, see also"}],"schema":"https://github.com/citation-style-language/schema/raw/master/csl-citation.json"} </w:instrText>
      </w:r>
      <w:r w:rsidRPr="00752C15">
        <w:rPr>
          <w:rFonts w:ascii="Times New Roman" w:hAnsi="Times New Roman" w:cs="Times New Roman"/>
        </w:rPr>
        <w:fldChar w:fldCharType="separate"/>
      </w:r>
      <w:r w:rsidR="003F255E" w:rsidRPr="00752C15">
        <w:rPr>
          <w:rFonts w:ascii="Times New Roman" w:hAnsi="Times New Roman" w:cs="Times New Roman"/>
          <w:szCs w:val="24"/>
        </w:rPr>
        <w:t xml:space="preserve">Michal Vavřík and Siyao Qin, ‘Politicization of Anti-Pandemic Measures in Europe: Cleavage Politics and Divided Publics’ in Simon XB Zhao and others (eds), </w:t>
      </w:r>
      <w:r w:rsidR="003F255E" w:rsidRPr="00752C15">
        <w:rPr>
          <w:rFonts w:ascii="Times New Roman" w:hAnsi="Times New Roman" w:cs="Times New Roman"/>
          <w:i/>
          <w:iCs/>
          <w:szCs w:val="24"/>
        </w:rPr>
        <w:t>Comparative Studies on Pandemic Control Policies and the Resilience of Society</w:t>
      </w:r>
      <w:r w:rsidR="003F255E" w:rsidRPr="00752C15">
        <w:rPr>
          <w:rFonts w:ascii="Times New Roman" w:hAnsi="Times New Roman" w:cs="Times New Roman"/>
          <w:szCs w:val="24"/>
        </w:rPr>
        <w:t xml:space="preserve"> (Springer 2023) 196; on the narratives of the far right, see also Steuer, ‘The Extreme Right as a Defender of Human Rights?’ (n 48).</w:t>
      </w:r>
      <w:r w:rsidRPr="00752C15">
        <w:rPr>
          <w:rFonts w:ascii="Times New Roman" w:hAnsi="Times New Roman" w:cs="Times New Roman"/>
        </w:rPr>
        <w:fldChar w:fldCharType="end"/>
      </w:r>
    </w:p>
  </w:footnote>
  <w:footnote w:id="75">
    <w:p w14:paraId="2474BA4F" w14:textId="06DDDDBE" w:rsidR="00AE35A2" w:rsidRPr="00752C15" w:rsidRDefault="00AE35A2" w:rsidP="00752C15">
      <w:pPr>
        <w:pStyle w:val="FootnoteText"/>
        <w:jc w:val="both"/>
        <w:rPr>
          <w:rFonts w:ascii="Times New Roman" w:hAnsi="Times New Roman" w:cs="Times New Roman"/>
          <w:lang w:val="en-IN"/>
        </w:rPr>
      </w:pPr>
      <w:r w:rsidRPr="00DC52BD">
        <w:rPr>
          <w:rStyle w:val="FootnoteReference"/>
        </w:rPr>
        <w:footnoteRef/>
      </w:r>
      <w:r w:rsidRPr="00752C15">
        <w:rPr>
          <w:rFonts w:ascii="Times New Roman" w:hAnsi="Times New Roman" w:cs="Times New Roman"/>
          <w:lang w:val="en-IN"/>
        </w:rPr>
        <w:t xml:space="preserve"> </w:t>
      </w:r>
      <w:proofErr w:type="spellStart"/>
      <w:r w:rsidRPr="00752C15">
        <w:rPr>
          <w:rFonts w:ascii="Times New Roman" w:hAnsi="Times New Roman" w:cs="Times New Roman"/>
          <w:lang w:val="en-IN"/>
        </w:rPr>
        <w:t>Pozen</w:t>
      </w:r>
      <w:proofErr w:type="spellEnd"/>
      <w:r w:rsidRPr="00752C15">
        <w:rPr>
          <w:rFonts w:ascii="Times New Roman" w:hAnsi="Times New Roman" w:cs="Times New Roman"/>
          <w:lang w:val="en-IN"/>
        </w:rPr>
        <w:t xml:space="preserve"> and </w:t>
      </w:r>
      <w:proofErr w:type="spellStart"/>
      <w:r w:rsidRPr="00752C15">
        <w:rPr>
          <w:rFonts w:ascii="Times New Roman" w:hAnsi="Times New Roman" w:cs="Times New Roman"/>
          <w:lang w:val="en-IN"/>
        </w:rPr>
        <w:t>Scheppele</w:t>
      </w:r>
      <w:proofErr w:type="spellEnd"/>
      <w:r w:rsidRPr="00752C15">
        <w:rPr>
          <w:rFonts w:ascii="Times New Roman" w:hAnsi="Times New Roman" w:cs="Times New Roman"/>
          <w:lang w:val="en-IN"/>
        </w:rPr>
        <w:t xml:space="preserve"> list Sweden as an example where, despite the non-implementation of many restrictions </w:t>
      </w:r>
      <w:r w:rsidR="000B781D" w:rsidRPr="00752C15">
        <w:rPr>
          <w:rFonts w:ascii="Times New Roman" w:hAnsi="Times New Roman" w:cs="Times New Roman"/>
          <w:lang w:val="en-IN"/>
        </w:rPr>
        <w:t>considered</w:t>
      </w:r>
      <w:r w:rsidRPr="00752C15">
        <w:rPr>
          <w:rFonts w:ascii="Times New Roman" w:hAnsi="Times New Roman" w:cs="Times New Roman"/>
          <w:lang w:val="en-IN"/>
        </w:rPr>
        <w:t xml:space="preserve"> legitimate and necessary </w:t>
      </w:r>
      <w:r w:rsidR="000B781D" w:rsidRPr="00752C15">
        <w:rPr>
          <w:rFonts w:ascii="Times New Roman" w:hAnsi="Times New Roman" w:cs="Times New Roman"/>
          <w:lang w:val="en-IN"/>
        </w:rPr>
        <w:t>elsewhere</w:t>
      </w:r>
      <w:r w:rsidRPr="00752C15">
        <w:rPr>
          <w:rFonts w:ascii="Times New Roman" w:hAnsi="Times New Roman" w:cs="Times New Roman"/>
          <w:lang w:val="en-IN"/>
        </w:rPr>
        <w:t xml:space="preserve">, there was no underreach. </w:t>
      </w:r>
      <w:r w:rsidR="000B781D" w:rsidRPr="00752C15">
        <w:rPr>
          <w:rFonts w:ascii="Times New Roman" w:hAnsi="Times New Roman" w:cs="Times New Roman"/>
          <w:lang w:val="en-IN"/>
        </w:rPr>
        <w:t>They</w:t>
      </w:r>
      <w:r w:rsidR="00945389" w:rsidRPr="00752C15">
        <w:rPr>
          <w:rFonts w:ascii="Times New Roman" w:hAnsi="Times New Roman" w:cs="Times New Roman"/>
          <w:lang w:val="en-IN"/>
        </w:rPr>
        <w:t xml:space="preserve"> point out</w:t>
      </w:r>
      <w:r w:rsidR="00D17CB1" w:rsidRPr="00752C15">
        <w:rPr>
          <w:rFonts w:ascii="Times New Roman" w:hAnsi="Times New Roman" w:cs="Times New Roman"/>
          <w:lang w:val="en-IN"/>
        </w:rPr>
        <w:t xml:space="preserve"> that </w:t>
      </w:r>
      <w:r w:rsidRPr="00752C15">
        <w:rPr>
          <w:rFonts w:ascii="Times New Roman" w:hAnsi="Times New Roman" w:cs="Times New Roman"/>
          <w:lang w:val="en-IN"/>
        </w:rPr>
        <w:t xml:space="preserve">the decisions of the authorities were ‘all justified in a deliberative fashion—under constraints imposed by the Swedish constitution’. </w:t>
      </w:r>
      <w:r w:rsidR="00073BCD" w:rsidRPr="00752C15">
        <w:rPr>
          <w:rFonts w:ascii="Times New Roman" w:hAnsi="Times New Roman" w:cs="Times New Roman"/>
          <w:lang w:val="en-IN"/>
        </w:rPr>
        <w:fldChar w:fldCharType="begin"/>
      </w:r>
      <w:r w:rsidR="003F255E" w:rsidRPr="00752C15">
        <w:rPr>
          <w:rFonts w:ascii="Times New Roman" w:hAnsi="Times New Roman" w:cs="Times New Roman"/>
          <w:lang w:val="en-IN"/>
        </w:rPr>
        <w:instrText xml:space="preserve"> ADDIN ZOTERO_ITEM CSL_CITATION {"citationID":"ORSsxSYy","properties":{"formattedCitation":"(n 19) 612.","plainCitation":"(n 19) 612.","noteIndex":74},"citationItems":[{"id":102,"uris":["http://zotero.org/users/2073125/items/5PYLQAV8"],"itemData":{"id":102,"type":"article-journal","abstract":"Legal scholars are familiar with the problem of executive overreach, especially in emergencies. But sometimes, instead of being too audacious or extreme, a national executive's attempts to address a true threat prove far too limited and insubstantial. In this Essay, we seek to define and clarify the phenomenon of executive underreach, with special reference to the COVID-19 crisis; to outline ways in which such underreach may compromise constitutional governance and the international legal order; and to suggest a partial remedy.","container-title":"American Journal of International Law","DOI":"10.1017/ajil.2020.59","ISSN":"0002-9300, 2161-7953","issue":"4","language":"en","note":"publisher: Cambridge University Press","page":"608-617","source":"Cambridge University Press","title":"Executive Underreach, in Pandemics and Otherwise","volume":"114","author":[{"family":"Pozen","given":"David E."},{"family":"Scheppele","given":"Kim Lane"}],"issued":{"date-parts":[["2020",10]]}},"locator":"612","label":"page","suppress-author":true}],"schema":"https://github.com/citation-style-language/schema/raw/master/csl-citation.json"} </w:instrText>
      </w:r>
      <w:r w:rsidR="00073BCD" w:rsidRPr="00752C15">
        <w:rPr>
          <w:rFonts w:ascii="Times New Roman" w:hAnsi="Times New Roman" w:cs="Times New Roman"/>
          <w:lang w:val="en-IN"/>
        </w:rPr>
        <w:fldChar w:fldCharType="separate"/>
      </w:r>
      <w:r w:rsidR="003F255E" w:rsidRPr="00752C15">
        <w:rPr>
          <w:rFonts w:ascii="Times New Roman" w:hAnsi="Times New Roman" w:cs="Times New Roman"/>
        </w:rPr>
        <w:t>(n 19) 612.</w:t>
      </w:r>
      <w:r w:rsidR="00073BCD" w:rsidRPr="00752C15">
        <w:rPr>
          <w:rFonts w:ascii="Times New Roman" w:hAnsi="Times New Roman" w:cs="Times New Roman"/>
          <w:lang w:val="en-IN"/>
        </w:rPr>
        <w:fldChar w:fldCharType="end"/>
      </w:r>
    </w:p>
  </w:footnote>
  <w:footnote w:id="76">
    <w:p w14:paraId="02F8B64A" w14:textId="0621AAB1" w:rsidR="00F43F42" w:rsidRPr="00752C15" w:rsidRDefault="00F43F42" w:rsidP="00752C15">
      <w:pPr>
        <w:pStyle w:val="FootnoteText"/>
        <w:jc w:val="both"/>
        <w:rPr>
          <w:rFonts w:ascii="Times New Roman" w:hAnsi="Times New Roman" w:cs="Times New Roman"/>
          <w:lang w:val="en-IN"/>
        </w:rPr>
      </w:pPr>
      <w:r w:rsidRPr="00DC52BD">
        <w:rPr>
          <w:rStyle w:val="FootnoteReference"/>
        </w:rPr>
        <w:footnoteRef/>
      </w:r>
      <w:r w:rsidRPr="00752C15">
        <w:rPr>
          <w:rFonts w:ascii="Times New Roman" w:hAnsi="Times New Roman" w:cs="Times New Roman"/>
        </w:rPr>
        <w:t xml:space="preserve"> </w:t>
      </w:r>
      <w:r w:rsidRPr="00752C15">
        <w:rPr>
          <w:rFonts w:ascii="Times New Roman" w:hAnsi="Times New Roman" w:cs="Times New Roman"/>
        </w:rPr>
        <w:fldChar w:fldCharType="begin"/>
      </w:r>
      <w:r w:rsidR="003F255E" w:rsidRPr="00752C15">
        <w:rPr>
          <w:rFonts w:ascii="Times New Roman" w:hAnsi="Times New Roman" w:cs="Times New Roman"/>
        </w:rPr>
        <w:instrText xml:space="preserve"> ADDIN ZOTERO_ITEM CSL_CITATION {"citationID":"QUFdGz40","properties":{"formattedCitation":"Alan Greene, \\uc0\\u8216{}Emergencies and Illiberalism\\uc0\\u8217{} in Andr\\uc0\\u225{}s Saj\\uc0\\u243{}, Ren\\uc0\\u225{}ta Uitz and Stephen Holmes (eds), {\\i{}Routledge Handbook of Illiberalism} (Routledge 2021) 568.","plainCitation":"Alan Greene, ‘Emergencies and Illiberalism’ in András Sajó, Renáta Uitz and Stephen Holmes (eds), Routledge Handbook of Illiberalism (Routledge 2021) 568.","noteIndex":75},"citationItems":[{"id":4610,"uris":["http://zotero.org/users/2073125/items/QTKNF5MD"],"itemData":{"id":4610,"type":"chapter","container-title":"Routledge Handbook of Illiberalism","event-place":"London","ISBN":"978-0-367-26054-5","language":"English","page":"554-570","publisher":"Routledge","publisher-place":"London","source":"Amazon","title":"Emergencies and Illiberalism","editor":[{"family":"Sajó","given":"András"},{"family":"Uitz","given":"Renáta"},{"family":"Holmes","given":"Stephen"}],"author":[{"family":"Greene","given":"Alan"}],"issued":{"date-parts":[["2021",11,30]]}},"locator":"568"}],"schema":"https://github.com/citation-style-language/schema/raw/master/csl-citation.json"} </w:instrText>
      </w:r>
      <w:r w:rsidRPr="00752C15">
        <w:rPr>
          <w:rFonts w:ascii="Times New Roman" w:hAnsi="Times New Roman" w:cs="Times New Roman"/>
        </w:rPr>
        <w:fldChar w:fldCharType="separate"/>
      </w:r>
      <w:r w:rsidR="00BF3BC4" w:rsidRPr="00752C15">
        <w:rPr>
          <w:rFonts w:ascii="Times New Roman" w:hAnsi="Times New Roman" w:cs="Times New Roman"/>
        </w:rPr>
        <w:t xml:space="preserve">Alan Greene, ‘Emergencies and Illiberalism’ in András Sajó, Renáta Uitz and Stephen Holmes (eds), </w:t>
      </w:r>
      <w:r w:rsidR="00BF3BC4" w:rsidRPr="00752C15">
        <w:rPr>
          <w:rFonts w:ascii="Times New Roman" w:hAnsi="Times New Roman" w:cs="Times New Roman"/>
          <w:i/>
          <w:iCs/>
        </w:rPr>
        <w:t>Routledge Handbook of Illiberalism</w:t>
      </w:r>
      <w:r w:rsidR="00BF3BC4" w:rsidRPr="00752C15">
        <w:rPr>
          <w:rFonts w:ascii="Times New Roman" w:hAnsi="Times New Roman" w:cs="Times New Roman"/>
        </w:rPr>
        <w:t xml:space="preserve"> (Routledge 2021) 568.</w:t>
      </w:r>
      <w:r w:rsidRPr="00752C15">
        <w:rPr>
          <w:rFonts w:ascii="Times New Roman" w:hAnsi="Times New Roman" w:cs="Times New Roman"/>
        </w:rPr>
        <w:fldChar w:fldCharType="end"/>
      </w:r>
    </w:p>
  </w:footnote>
  <w:footnote w:id="77">
    <w:p w14:paraId="505FA115" w14:textId="23BAC539" w:rsidR="001E1BF2" w:rsidRPr="00752C15" w:rsidRDefault="001E1BF2" w:rsidP="00752C15">
      <w:pPr>
        <w:pStyle w:val="FootnoteText"/>
        <w:jc w:val="both"/>
        <w:rPr>
          <w:rFonts w:ascii="Times New Roman" w:hAnsi="Times New Roman" w:cs="Times New Roman"/>
          <w:lang w:val="en-IN"/>
        </w:rPr>
      </w:pPr>
      <w:r w:rsidRPr="00DC52BD">
        <w:rPr>
          <w:rStyle w:val="FootnoteReference"/>
        </w:rPr>
        <w:footnoteRef/>
      </w:r>
      <w:r w:rsidR="00D0605F" w:rsidRPr="00752C15">
        <w:rPr>
          <w:rFonts w:ascii="Times New Roman" w:hAnsi="Times New Roman" w:cs="Times New Roman"/>
        </w:rPr>
        <w:t xml:space="preserve"> </w:t>
      </w:r>
      <w:r w:rsidR="00D0605F" w:rsidRPr="00752C15">
        <w:rPr>
          <w:rFonts w:ascii="Times New Roman" w:hAnsi="Times New Roman" w:cs="Times New Roman"/>
        </w:rPr>
        <w:fldChar w:fldCharType="begin"/>
      </w:r>
      <w:r w:rsidR="00D0605F" w:rsidRPr="00752C15">
        <w:rPr>
          <w:rFonts w:ascii="Times New Roman" w:hAnsi="Times New Roman" w:cs="Times New Roman"/>
        </w:rPr>
        <w:instrText xml:space="preserve"> ADDIN ZOTERO_ITEM CSL_CITATION {"citationID":"UusappLL","properties":{"formattedCitation":"National Council of the Slovak Republic, \\uc0\\u8216{}N\\uc0\\u225{}vrh vl\\uc0\\u225{}dy na vyslovenie s\\uc0\\u250{}hlasu NRSR s pred\\uc0\\u314{}\\uc0\\u382{}en\\uc0\\u237{}m n\\uc0\\u250{}dzov\\uc0\\u233{}ho stavu [Executive Petition for Parliamentary Consent to the Prolongation of the State of Emergency]\\uc0\\u8217{} &lt;https://www.nrsr.sk/web/Default.aspx?sid=zakony/cpt&amp;ZakZborID=13&amp;CisObdobia=8&amp;ID=380&gt;.","plainCitation":"National Council of the Slovak Republic, ‘Návrh vlády na vyslovenie súhlasu NRSR s predĺžením núdzového stavu [Executive Petition for Parliamentary Consent to the Prolongation of the State of Emergency]’ &lt;https://www.nrsr.sk/web/Default.aspx?sid=zakony/cpt&amp;ZakZborID=13&amp;CisObdobia=8&amp;ID=380&gt;.","noteIndex":76},"citationItems":[{"id":12065,"uris":["http://zotero.org/users/2073125/items/6A97TZXS"],"itemData":{"id":12065,"type":"document","abstract":"Návrh vlády Slovenskej republiky na vyslovenie súhlasu Národnej rady Slovenskej republiky s predĺžením núdzového stavu vyhláseného z dôvodu ohrozenia života a zdravia osôb v príčinnej súvislosti so vznikom pandémie","language":"SK","note":"270","title":"Návrh vlády na vyslovenie súhlasu NRSR s predĺžením núdzového stavu [Executive Petition for Parliamentary Consent to the Prolongation of the State of Emergency]","URL":"https://www.nrsr.sk/web/Default.aspx?sid=zakony/cpt&amp;ZakZborID=13&amp;CisObdobia=8&amp;ID=380","author":[{"family":"National Council of the Slovak Republic","given":""}],"issued":{"date-parts":[["2020"]]}}}],"schema":"https://github.com/citation-style-language/schema/raw/master/csl-citation.json"} </w:instrText>
      </w:r>
      <w:r w:rsidR="00D0605F" w:rsidRPr="00752C15">
        <w:rPr>
          <w:rFonts w:ascii="Times New Roman" w:hAnsi="Times New Roman" w:cs="Times New Roman"/>
        </w:rPr>
        <w:fldChar w:fldCharType="separate"/>
      </w:r>
      <w:r w:rsidR="00D0605F" w:rsidRPr="00752C15">
        <w:rPr>
          <w:rFonts w:ascii="Times New Roman" w:hAnsi="Times New Roman" w:cs="Times New Roman"/>
          <w:szCs w:val="24"/>
        </w:rPr>
        <w:t>National Council of the Slovak Republic, ‘Návrh vlády na vyslovenie súhlasu NRSR s predĺžením núdzového stavu [Executive Petition for Parliamentary Consent to the Prolongation of the State of Emergency]’ &lt;https://www.nrsr.sk/web/Default.aspx?sid=zakony/cpt&amp;ZakZborID=13&amp;CisObdobia=8&amp;ID=380&gt;.</w:t>
      </w:r>
      <w:r w:rsidR="00D0605F" w:rsidRPr="00752C15">
        <w:rPr>
          <w:rFonts w:ascii="Times New Roman" w:hAnsi="Times New Roman" w:cs="Times New Roman"/>
        </w:rPr>
        <w:fldChar w:fldCharType="end"/>
      </w:r>
    </w:p>
  </w:footnote>
  <w:footnote w:id="78">
    <w:p w14:paraId="2C0C4D6A" w14:textId="078FF4FC" w:rsidR="00275A7E" w:rsidRPr="00752C15" w:rsidRDefault="00275A7E" w:rsidP="00752C15">
      <w:pPr>
        <w:pStyle w:val="FootnoteText"/>
        <w:jc w:val="both"/>
        <w:rPr>
          <w:rFonts w:ascii="Times New Roman" w:hAnsi="Times New Roman" w:cs="Times New Roman"/>
        </w:rPr>
      </w:pPr>
      <w:r w:rsidRPr="00DC52BD">
        <w:rPr>
          <w:rStyle w:val="FootnoteReference"/>
        </w:rPr>
        <w:footnoteRef/>
      </w:r>
      <w:r w:rsidRPr="00752C15">
        <w:rPr>
          <w:rFonts w:ascii="Times New Roman" w:hAnsi="Times New Roman" w:cs="Times New Roman"/>
        </w:rPr>
        <w:t xml:space="preserve"> The remaining deputies (out of 150) did not participate at the voting. </w:t>
      </w:r>
    </w:p>
  </w:footnote>
  <w:footnote w:id="79">
    <w:p w14:paraId="46AD06CF" w14:textId="4BBC9F56" w:rsidR="0097267E" w:rsidRPr="00752C15" w:rsidRDefault="0097267E" w:rsidP="00752C15">
      <w:pPr>
        <w:pStyle w:val="FootnoteText"/>
        <w:jc w:val="both"/>
        <w:rPr>
          <w:rFonts w:ascii="Times New Roman" w:hAnsi="Times New Roman" w:cs="Times New Roman"/>
        </w:rPr>
      </w:pPr>
      <w:r w:rsidRPr="00DC52BD">
        <w:rPr>
          <w:rStyle w:val="FootnoteReference"/>
        </w:rPr>
        <w:footnoteRef/>
      </w:r>
      <w:r w:rsidR="00FE1A3F" w:rsidRPr="00752C15">
        <w:rPr>
          <w:rFonts w:ascii="Times New Roman" w:hAnsi="Times New Roman" w:cs="Times New Roman"/>
        </w:rPr>
        <w:t xml:space="preserve"> </w:t>
      </w:r>
      <w:r w:rsidR="0026622B" w:rsidRPr="00752C15">
        <w:rPr>
          <w:rFonts w:ascii="Times New Roman" w:hAnsi="Times New Roman" w:cs="Times New Roman"/>
        </w:rPr>
        <w:fldChar w:fldCharType="begin"/>
      </w:r>
      <w:r w:rsidR="0026622B" w:rsidRPr="00752C15">
        <w:rPr>
          <w:rFonts w:ascii="Times New Roman" w:hAnsi="Times New Roman" w:cs="Times New Roman"/>
        </w:rPr>
        <w:instrText xml:space="preserve"> ADDIN ZOTERO_ITEM CSL_CITATION {"citationID":"IWl7z8Aw","properties":{"formattedCitation":"Government of the Slovak Republic, \\uc0\\u8216{}N\\uc0\\u225{}vrh na pred\\uc0\\u314{}\\uc0\\u382{}enie \\uc0\\u269{}asu trvania n\\uc0\\u250{}dzov\\uc0\\u233{}ho stavu UV-27966/2020 [Proposal to Prolong the State of Emergency]\\uc0\\u8217{} (2020) &lt;https://rokovania.gov.sk/RVL/Material/25610/1&gt;.","plainCitation":"Government of the Slovak Republic, ‘Návrh na predĺženie času trvania núdzového stavu UV-27966/2020 [Proposal to Prolong the State of Emergency]’ (2020) &lt;https://rokovania.gov.sk/RVL/Material/25610/1&gt;.","noteIndex":78},"citationItems":[{"id":12057,"uris":["http://zotero.org/users/2073125/items/5B6T2CL6"],"itemData":{"id":12057,"type":"webpage","language":"SK","title":"Návrh na predĺženie času trvania núdzového stavu UV-27966/2020 [Proposal to Prolong the State of Emergency]","URL":"https://rokovania.gov.sk/RVL/Material/25610/1","author":[{"family":"Government of the Slovak Republic","given":""}],"issued":{"date-parts":[["2020"]]}}}],"schema":"https://github.com/citation-style-language/schema/raw/master/csl-citation.json"} </w:instrText>
      </w:r>
      <w:r w:rsidR="0026622B" w:rsidRPr="00752C15">
        <w:rPr>
          <w:rFonts w:ascii="Times New Roman" w:hAnsi="Times New Roman" w:cs="Times New Roman"/>
        </w:rPr>
        <w:fldChar w:fldCharType="separate"/>
      </w:r>
      <w:r w:rsidR="0026622B" w:rsidRPr="00752C15">
        <w:rPr>
          <w:rFonts w:ascii="Times New Roman" w:hAnsi="Times New Roman" w:cs="Times New Roman"/>
          <w:szCs w:val="24"/>
        </w:rPr>
        <w:t>Government of the Slovak Republic, ‘Návrh na predĺženie času trvania núdzového stavu UV-27966/2020 [Proposal to Prolong the State of Emergency]’ (2020) &lt;https://rokovania.gov.sk/RVL/Material/25610/1&gt;.</w:t>
      </w:r>
      <w:r w:rsidR="0026622B" w:rsidRPr="00752C15">
        <w:rPr>
          <w:rFonts w:ascii="Times New Roman" w:hAnsi="Times New Roman" w:cs="Times New Roman"/>
        </w:rPr>
        <w:fldChar w:fldCharType="end"/>
      </w:r>
      <w:r w:rsidR="001C13FF" w:rsidRPr="00752C15">
        <w:rPr>
          <w:rFonts w:ascii="Times New Roman" w:hAnsi="Times New Roman" w:cs="Times New Roman"/>
        </w:rPr>
        <w:t xml:space="preserve"> </w:t>
      </w:r>
    </w:p>
  </w:footnote>
  <w:footnote w:id="80">
    <w:p w14:paraId="6F26ACDD" w14:textId="0D94FEE0" w:rsidR="003759B6" w:rsidRPr="00752C15" w:rsidRDefault="003759B6" w:rsidP="00752C15">
      <w:pPr>
        <w:pStyle w:val="FootnoteText"/>
        <w:jc w:val="both"/>
        <w:rPr>
          <w:rFonts w:ascii="Times New Roman" w:hAnsi="Times New Roman" w:cs="Times New Roman"/>
          <w:lang w:val="en-US"/>
        </w:rPr>
      </w:pPr>
      <w:r w:rsidRPr="00DC52BD">
        <w:rPr>
          <w:rStyle w:val="FootnoteReference"/>
        </w:rPr>
        <w:footnoteRef/>
      </w:r>
      <w:r w:rsidRPr="00752C15">
        <w:rPr>
          <w:rFonts w:ascii="Times New Roman" w:hAnsi="Times New Roman" w:cs="Times New Roman"/>
        </w:rPr>
        <w:t xml:space="preserve"> </w:t>
      </w:r>
      <w:r w:rsidR="00583903" w:rsidRPr="00752C15">
        <w:rPr>
          <w:rFonts w:ascii="Times New Roman" w:hAnsi="Times New Roman" w:cs="Times New Roman"/>
        </w:rPr>
        <w:fldChar w:fldCharType="begin"/>
      </w:r>
      <w:r w:rsidR="00583903" w:rsidRPr="00752C15">
        <w:rPr>
          <w:rFonts w:ascii="Times New Roman" w:hAnsi="Times New Roman" w:cs="Times New Roman"/>
        </w:rPr>
        <w:instrText xml:space="preserve"> ADDIN ZOTERO_ITEM CSL_CITATION {"citationID":"gSCNX7EA","properties":{"formattedCitation":"Government of the Slovak Republic, \\uc0\\u8216{}N\\uc0\\u225{}vrh na opakovan\\uc0\\u233{} pred\\uc0\\u314{}\\uc0\\u382{}enie \\uc0\\u269{}asu trvania n\\uc0\\u250{}dzov\\uc0\\u233{}ho stavu UV-2412/2021 [Proposal for a Repeated Prolongation of the State of Emergency]\\uc0\\u8217{} (2021) &lt;https://rokovania.gov.sk/RVL/Material/25719/1&gt;.","plainCitation":"Government of the Slovak Republic, ‘Návrh na opakované predĺženie času trvania núdzového stavu UV-2412/2021 [Proposal for a Repeated Prolongation of the State of Emergency]’ (2021) &lt;https://rokovania.gov.sk/RVL/Material/25719/1&gt;.","noteIndex":79},"citationItems":[{"id":12058,"uris":["http://zotero.org/users/2073125/items/NF269LK4"],"itemData":{"id":12058,"type":"webpage","abstract":"Návrh na opakované predĺženie času trvania núdzového stavu podľa čl. 5 ods. 2 ústavného zákona č. 227/2002 Z. z. o bezpečnosti štátu v čase vojny, vojnového stavu, výnimočného stavu a núdzového stavu v znení neskorších predpisov vyhláseného uznesením vlády Slovenskej republiky č. 587 z 30. septembra 2020 a na prijatie opatrení podľa čl. 5 ods. 4 ústavného zákona č. 227/2002 Z. z. o bezpečnosti štátu v čase vojny, vojnového stavu, výnimočného stavu a núdzového stavu v znení neskorších predpisov","language":"SK","title":"Návrh na opakované predĺženie času trvania núdzového stavu UV-2412/2021 [Proposal for a Repeated Prolongation of the State of Emergency]","URL":"https://rokovania.gov.sk/RVL/Material/25719/1","author":[{"family":"Government of the Slovak Republic","given":""}],"issued":{"date-parts":[["2021"]]}}}],"schema":"https://github.com/citation-style-language/schema/raw/master/csl-citation.json"} </w:instrText>
      </w:r>
      <w:r w:rsidR="00583903" w:rsidRPr="00752C15">
        <w:rPr>
          <w:rFonts w:ascii="Times New Roman" w:hAnsi="Times New Roman" w:cs="Times New Roman"/>
        </w:rPr>
        <w:fldChar w:fldCharType="separate"/>
      </w:r>
      <w:r w:rsidR="00583903" w:rsidRPr="00752C15">
        <w:rPr>
          <w:rFonts w:ascii="Times New Roman" w:hAnsi="Times New Roman" w:cs="Times New Roman"/>
          <w:szCs w:val="24"/>
        </w:rPr>
        <w:t>Government of the Slovak Republic, ‘Návrh na opakované predĺženie času trvania núdzového stavu UV-2412/2021 [Proposal for a Repeated Prolongation of the State of Emergency]’ (2021) &lt;https://rokovania.gov.sk/RVL/Material/25719/1&gt;.</w:t>
      </w:r>
      <w:r w:rsidR="00583903" w:rsidRPr="00752C15">
        <w:rPr>
          <w:rFonts w:ascii="Times New Roman" w:hAnsi="Times New Roman" w:cs="Times New Roman"/>
        </w:rPr>
        <w:fldChar w:fldCharType="end"/>
      </w:r>
    </w:p>
  </w:footnote>
  <w:footnote w:id="81">
    <w:p w14:paraId="7FEAB98A" w14:textId="5DB0BA0F" w:rsidR="00B1735C" w:rsidRPr="00752C15" w:rsidRDefault="00B1735C" w:rsidP="00752C15">
      <w:pPr>
        <w:pStyle w:val="FootnoteText"/>
        <w:jc w:val="both"/>
        <w:rPr>
          <w:rFonts w:ascii="Times New Roman" w:hAnsi="Times New Roman" w:cs="Times New Roman"/>
          <w:lang w:val="en-US"/>
        </w:rPr>
      </w:pPr>
      <w:r w:rsidRPr="00DC52BD">
        <w:rPr>
          <w:rStyle w:val="FootnoteReference"/>
        </w:rPr>
        <w:footnoteRef/>
      </w:r>
      <w:r w:rsidR="00FE1A3F" w:rsidRPr="00752C15">
        <w:rPr>
          <w:rFonts w:ascii="Times New Roman" w:hAnsi="Times New Roman" w:cs="Times New Roman"/>
        </w:rPr>
        <w:t xml:space="preserve"> </w:t>
      </w:r>
      <w:r w:rsidR="00FE1A3F" w:rsidRPr="00752C15">
        <w:rPr>
          <w:rFonts w:ascii="Times New Roman" w:hAnsi="Times New Roman" w:cs="Times New Roman"/>
        </w:rPr>
        <w:fldChar w:fldCharType="begin"/>
      </w:r>
      <w:r w:rsidR="00FE1A3F" w:rsidRPr="00752C15">
        <w:rPr>
          <w:rFonts w:ascii="Times New Roman" w:hAnsi="Times New Roman" w:cs="Times New Roman"/>
        </w:rPr>
        <w:instrText xml:space="preserve"> ADDIN ZOTERO_ITEM CSL_CITATION {"citationID":"jHfulJKG","properties":{"formattedCitation":"Government of the Slovak Republic, \\uc0\\u8216{}N\\uc0\\u225{}vrh na opakovan\\uc0\\u233{} pred\\uc0\\u314{}\\uc0\\u382{}enie \\uc0\\u269{}asu trvania n\\uc0\\u250{}dzov\\uc0\\u233{}ho stavu UV-4890/2021 [Proposal for a Repeated Prolongation of the State of Emergency]\\uc0\\u8217{} (2021) &lt;https://rokovania.gov.sk/RVL/Material/25827/1&gt;.","plainCitation":"Government of the Slovak Republic, ‘Návrh na opakované predĺženie času trvania núdzového stavu UV-4890/2021 [Proposal for a Repeated Prolongation of the State of Emergency]’ (2021) &lt;https://rokovania.gov.sk/RVL/Material/25827/1&gt;.","noteIndex":80},"citationItems":[{"id":12059,"uris":["http://zotero.org/users/2073125/items/UGAALRTU"],"itemData":{"id":12059,"type":"webpage","abstract":"Návrh na opakované predĺženie času trvania núdzového stavu podľa čl. 5 ods. 2 ústavného zákona č. 227/2002 Z. z. o bezpečnosti štátu v čase vojny, vojnového stavu, výnimočného stavu a núdzového stavu v znení neskorších predpisov vyhláseného uznesením vlády Slovenskej republiky č. 587 z 30. septembra 2020 a na prijatie opatrení podľa čl. 5 ods. 4 ústavného zákona č. 227/2002 Z. z. o bezpečnosti štátu v čase vojny, vojnového stavu, výnimočného stavu a núdzového stavu v znení neskorších predpisov","language":"SK","title":"Návrh na opakované predĺženie času trvania núdzového stavu UV-4890/2021 [Proposal for a Repeated Prolongation of the State of Emergency]","URL":"https://rokovania.gov.sk/RVL/Material/25827/1","author":[{"family":"Government of the Slovak Republic","given":""}],"issued":{"date-parts":[["2021"]]}}}],"schema":"https://github.com/citation-style-language/schema/raw/master/csl-citation.json"} </w:instrText>
      </w:r>
      <w:r w:rsidR="00FE1A3F" w:rsidRPr="00752C15">
        <w:rPr>
          <w:rFonts w:ascii="Times New Roman" w:hAnsi="Times New Roman" w:cs="Times New Roman"/>
        </w:rPr>
        <w:fldChar w:fldCharType="separate"/>
      </w:r>
      <w:r w:rsidR="00FE1A3F" w:rsidRPr="00752C15">
        <w:rPr>
          <w:rFonts w:ascii="Times New Roman" w:hAnsi="Times New Roman" w:cs="Times New Roman"/>
          <w:szCs w:val="24"/>
        </w:rPr>
        <w:t>Government of the Slovak Republic, ‘Návrh na opakované predĺženie času trvania núdzového stavu UV-4890/2021 [Proposal for a Repeated Prolongation of the State of Emergency]’ (2021) &lt;https://rokovania.gov.sk/RVL/Material/25827/1&gt;.</w:t>
      </w:r>
      <w:r w:rsidR="00FE1A3F" w:rsidRPr="00752C15">
        <w:rPr>
          <w:rFonts w:ascii="Times New Roman" w:hAnsi="Times New Roman" w:cs="Times New Roman"/>
        </w:rPr>
        <w:fldChar w:fldCharType="end"/>
      </w:r>
      <w:r w:rsidR="001D4D64" w:rsidRPr="00752C15">
        <w:rPr>
          <w:rFonts w:ascii="Times New Roman" w:hAnsi="Times New Roman" w:cs="Times New Roman"/>
        </w:rPr>
        <w:t xml:space="preserve">. </w:t>
      </w:r>
    </w:p>
  </w:footnote>
  <w:footnote w:id="82">
    <w:p w14:paraId="3C655587" w14:textId="1219E921" w:rsidR="00C153ED" w:rsidRPr="00752C15" w:rsidRDefault="00C153ED" w:rsidP="00752C15">
      <w:pPr>
        <w:pStyle w:val="FootnoteText"/>
        <w:jc w:val="both"/>
        <w:rPr>
          <w:rFonts w:ascii="Times New Roman" w:hAnsi="Times New Roman" w:cs="Times New Roman"/>
          <w:lang w:val="en-US"/>
        </w:rPr>
      </w:pPr>
      <w:r w:rsidRPr="00DC52BD">
        <w:rPr>
          <w:rStyle w:val="FootnoteReference"/>
        </w:rPr>
        <w:footnoteRef/>
      </w:r>
      <w:r w:rsidRPr="00752C15">
        <w:rPr>
          <w:rFonts w:ascii="Times New Roman" w:hAnsi="Times New Roman" w:cs="Times New Roman"/>
        </w:rPr>
        <w:t xml:space="preserve"> </w:t>
      </w:r>
      <w:r w:rsidR="00D821BD" w:rsidRPr="00752C15">
        <w:rPr>
          <w:rFonts w:ascii="Times New Roman" w:hAnsi="Times New Roman" w:cs="Times New Roman"/>
        </w:rPr>
        <w:fldChar w:fldCharType="begin"/>
      </w:r>
      <w:r w:rsidR="00D821BD" w:rsidRPr="00752C15">
        <w:rPr>
          <w:rFonts w:ascii="Times New Roman" w:hAnsi="Times New Roman" w:cs="Times New Roman"/>
        </w:rPr>
        <w:instrText xml:space="preserve"> ADDIN ZOTERO_ITEM CSL_CITATION {"citationID":"dY2BOZIX","properties":{"formattedCitation":"Government of the Slovak Republic, \\uc0\\u8216{}N\\uc0\\u225{}vrh na opakovan\\uc0\\u233{} pred\\uc0\\u314{}\\uc0\\u382{}enie \\uc0\\u269{}asu trvania n\\uc0\\u250{}dzov\\uc0\\u233{}ho stavu UV-7447/2021 [Proposal for a Repeated Prolongation of the State of Emergency]\\uc0\\u8217{} (2021) &lt;https://rokovania.gov.sk/RVL/Material/25934/1&gt;.","plainCitation":"Government of the Slovak Republic, ‘Návrh na opakované predĺženie času trvania núdzového stavu UV-7447/2021 [Proposal for a Repeated Prolongation of the State of Emergency]’ (2021) &lt;https://rokovania.gov.sk/RVL/Material/25934/1&gt;.","noteIndex":81},"citationItems":[{"id":12060,"uris":["http://zotero.org/users/2073125/items/BEJLURG3"],"itemData":{"id":12060,"type":"webpage","abstract":"Návrh na opakované predĺženie času trvania núdzového stavu podľa čl. 5 ods. 2 ústavného zákona č. 227/2002 Z. z. o bezpečnosti štátu v čase vojny, vojnového stavu, výnimočného stavu a núdzového stavu v znení neskorších predpisov vyhláseného uznesením vlády SR č. 587 z 30. septembra 2020 a na prijatie opatrení podľa čl. 5 ods. 4 ústavného zákona č. 227/2002 Z. z. o bezpečnosti štátu v čase vojny, vojnového stavu, výnimočného stavu a núdzového stavu v znení neskorších predpisov","language":"SK","title":"Návrh na opakované predĺženie času trvania núdzového stavu UV-7447/2021 [Proposal for a Repeated Prolongation of the State of Emergency]","URL":"https://rokovania.gov.sk/RVL/Material/25934/1","author":[{"family":"Government of the Slovak Republic","given":""}],"issued":{"date-parts":[["2021"]]}}}],"schema":"https://github.com/citation-style-language/schema/raw/master/csl-citation.json"} </w:instrText>
      </w:r>
      <w:r w:rsidR="00D821BD" w:rsidRPr="00752C15">
        <w:rPr>
          <w:rFonts w:ascii="Times New Roman" w:hAnsi="Times New Roman" w:cs="Times New Roman"/>
        </w:rPr>
        <w:fldChar w:fldCharType="separate"/>
      </w:r>
      <w:r w:rsidR="00D821BD" w:rsidRPr="00752C15">
        <w:rPr>
          <w:rFonts w:ascii="Times New Roman" w:hAnsi="Times New Roman" w:cs="Times New Roman"/>
          <w:szCs w:val="24"/>
        </w:rPr>
        <w:t>Government of the Slovak Republic, ‘Návrh na opakované predĺženie času trvania núdzového stavu UV-7447/2021 [Proposal for a Repeated Prolongation of the State of Emergency]’ (2021) &lt;https://rokovania.gov.sk/RVL/Material/25934/1&gt;.</w:t>
      </w:r>
      <w:r w:rsidR="00D821BD" w:rsidRPr="00752C15">
        <w:rPr>
          <w:rFonts w:ascii="Times New Roman" w:hAnsi="Times New Roman" w:cs="Times New Roman"/>
        </w:rPr>
        <w:fldChar w:fldCharType="end"/>
      </w:r>
    </w:p>
  </w:footnote>
  <w:footnote w:id="83">
    <w:p w14:paraId="6FA148CF" w14:textId="35803DDD" w:rsidR="001912D0" w:rsidRPr="00752C15" w:rsidRDefault="001912D0" w:rsidP="00752C15">
      <w:pPr>
        <w:pStyle w:val="FootnoteText"/>
        <w:jc w:val="both"/>
        <w:rPr>
          <w:rFonts w:ascii="Times New Roman" w:hAnsi="Times New Roman" w:cs="Times New Roman"/>
          <w:lang w:val="en-US"/>
        </w:rPr>
      </w:pPr>
      <w:r w:rsidRPr="00DC52BD">
        <w:rPr>
          <w:rStyle w:val="FootnoteReference"/>
        </w:rPr>
        <w:footnoteRef/>
      </w:r>
      <w:r w:rsidR="00B32F73" w:rsidRPr="00752C15">
        <w:rPr>
          <w:rFonts w:ascii="Times New Roman" w:hAnsi="Times New Roman" w:cs="Times New Roman"/>
        </w:rPr>
        <w:t xml:space="preserve"> </w:t>
      </w:r>
      <w:r w:rsidR="00B32F73" w:rsidRPr="00752C15">
        <w:rPr>
          <w:rFonts w:ascii="Times New Roman" w:hAnsi="Times New Roman" w:cs="Times New Roman"/>
        </w:rPr>
        <w:fldChar w:fldCharType="begin"/>
      </w:r>
      <w:r w:rsidR="00B32F73" w:rsidRPr="00752C15">
        <w:rPr>
          <w:rFonts w:ascii="Times New Roman" w:hAnsi="Times New Roman" w:cs="Times New Roman"/>
        </w:rPr>
        <w:instrText xml:space="preserve"> ADDIN ZOTERO_ITEM CSL_CITATION {"citationID":"CLplytZI","properties":{"formattedCitation":"Government of the Slovak Republic, \\uc0\\u8216{}N\\uc0\\u225{}vrh na vyhl\\uc0\\u225{}senie n\\uc0\\u250{}dzov\\uc0\\u233{}ho stavu UV-27117/2021 [Proposal to Declare a State of Emergency]\\uc0\\u8217{} (2021) &lt;https://rokovania.gov.sk/RVL/Material/26625/1&gt;.","plainCitation":"Government of the Slovak Republic, ‘Návrh na vyhlásenie núdzového stavu UV-27117/2021 [Proposal to Declare a State of Emergency]’ (2021) &lt;https://rokovania.gov.sk/RVL/Material/26625/1&gt;.","noteIndex":82},"citationItems":[{"id":11339,"uris":["http://zotero.org/users/2073125/items/L6PDCTBS"],"itemData":{"id":11339,"type":"webpage","abstract":"Návrh na vyhlásenie núdzového stavu a na prijatie opatrení podľa čl. 5 ods. 4 ústavného zákona č. 227/2002 Z. z. o bezpečnosti štátu v čase vojny, vojnového stavu, výnimočného stavu a núdzového stavu v znení neskorších predpisov [Proposal to Declare a State of Emergency and Enact Measures According to Art. 5 Sec. 4 of the Constitutional Act No. 227/2002 on State Security]","language":"SK","title":"Návrh na vyhlásenie núdzového stavu UV-27117/2021 [Proposal to Declare a State of Emergency]","URL":"https://rokovania.gov.sk/RVL/Material/26625/1","author":[{"family":"Government of the Slovak Republic","given":""}],"issued":{"date-parts":[["2021"]]}}}],"schema":"https://github.com/citation-style-language/schema/raw/master/csl-citation.json"} </w:instrText>
      </w:r>
      <w:r w:rsidR="00B32F73" w:rsidRPr="00752C15">
        <w:rPr>
          <w:rFonts w:ascii="Times New Roman" w:hAnsi="Times New Roman" w:cs="Times New Roman"/>
        </w:rPr>
        <w:fldChar w:fldCharType="separate"/>
      </w:r>
      <w:r w:rsidR="00B32F73" w:rsidRPr="00752C15">
        <w:rPr>
          <w:rFonts w:ascii="Times New Roman" w:hAnsi="Times New Roman" w:cs="Times New Roman"/>
          <w:szCs w:val="24"/>
        </w:rPr>
        <w:t>Government of the Slovak Republic, ‘Návrh na vyhlásenie núdzového stavu UV-27117/2021 [Proposal to Declare a State of Emergency]’ (2021) &lt;https://rokovania.gov.sk/RVL/Material/26625/1&gt;.</w:t>
      </w:r>
      <w:r w:rsidR="00B32F73" w:rsidRPr="00752C15">
        <w:rPr>
          <w:rFonts w:ascii="Times New Roman" w:hAnsi="Times New Roman" w:cs="Times New Roman"/>
        </w:rPr>
        <w:fldChar w:fldCharType="end"/>
      </w:r>
    </w:p>
  </w:footnote>
  <w:footnote w:id="84">
    <w:p w14:paraId="659832F0" w14:textId="5BF4FEA1" w:rsidR="00036BD1" w:rsidRPr="00752C15" w:rsidRDefault="00036BD1" w:rsidP="00752C15">
      <w:pPr>
        <w:pStyle w:val="FootnoteText"/>
        <w:jc w:val="both"/>
        <w:rPr>
          <w:rFonts w:ascii="Times New Roman" w:hAnsi="Times New Roman" w:cs="Times New Roman"/>
          <w:lang w:val="en-IN"/>
        </w:rPr>
      </w:pPr>
      <w:r w:rsidRPr="00DC52BD">
        <w:rPr>
          <w:rStyle w:val="FootnoteReference"/>
        </w:rPr>
        <w:footnoteRef/>
      </w:r>
      <w:r w:rsidR="00370790" w:rsidRPr="00752C15">
        <w:rPr>
          <w:rFonts w:ascii="Times New Roman" w:hAnsi="Times New Roman" w:cs="Times New Roman"/>
        </w:rPr>
        <w:t xml:space="preserve"> </w:t>
      </w:r>
      <w:r w:rsidR="00370790" w:rsidRPr="00752C15">
        <w:rPr>
          <w:rFonts w:ascii="Times New Roman" w:hAnsi="Times New Roman" w:cs="Times New Roman"/>
        </w:rPr>
        <w:fldChar w:fldCharType="begin"/>
      </w:r>
      <w:r w:rsidR="00370790" w:rsidRPr="00752C15">
        <w:rPr>
          <w:rFonts w:ascii="Times New Roman" w:hAnsi="Times New Roman" w:cs="Times New Roman"/>
        </w:rPr>
        <w:instrText xml:space="preserve"> ADDIN ZOTERO_ITEM CSL_CITATION {"citationID":"Xa8BjdCm","properties":{"formattedCitation":"National Council of the Slovak Republic, \\uc0\\u8216{}N\\uc0\\u225{}vrh vl\\uc0\\u225{}dy na vyslovenie s\\uc0\\u250{}hlasu NRSR s opakovan\\uc0\\u253{}m pred\\uc0\\u314{}\\uc0\\u382{}en\\uc0\\u237{}m n\\uc0\\u250{}dzov\\uc0\\u233{}ho stavu [Executive Petition for Parliamentary Consent to the Repeated Prolongation of the State of Emergency]\\uc0\\u8217{} &lt;https://www.nrsr.sk/web/Default.aspx?sid=zakony/cpt&amp;ZakZborID=13&amp;CisObdobia=8&amp;ID=430&gt;.","plainCitation":"National Council of the Slovak Republic, ‘Návrh vlády na vyslovenie súhlasu NRSR s opakovaným predĺžením núdzového stavu [Executive Petition for Parliamentary Consent to the Repeated Prolongation of the State of Emergency]’ &lt;https://www.nrsr.sk/web/Default.aspx?sid=zakony/cpt&amp;ZakZborID=13&amp;CisObdobia=8&amp;ID=430&gt;.","noteIndex":83},"citationItems":[{"id":12066,"uris":["http://zotero.org/users/2073125/items/2V4VMYEL"],"itemData":{"id":12066,"type":"document","abstract":"Návrh vlády Slovenskej republiky na vyslovenie súhlasu Národnej rady Slovenskej republiky s opakovaným predĺžením núdzového stavu vyhláseného z dôvodu ohrozenia života a zdravia osôb v príčinnej súvislosti so vznikom pandémie","language":"SK","note":"430","title":"Návrh vlády na vyslovenie súhlasu NRSR s opakovaným predĺžením núdzového stavu [Executive Petition for Parliamentary Consent to the Repeated Prolongation of the State of Emergency]","URL":"https://www.nrsr.sk/web/Default.aspx?sid=zakony/cpt&amp;ZakZborID=13&amp;CisObdobia=8&amp;ID=430","author":[{"family":"National Council of the Slovak Republic","given":""}],"issued":{"date-parts":[["2021"]]}}}],"schema":"https://github.com/citation-style-language/schema/raw/master/csl-citation.json"} </w:instrText>
      </w:r>
      <w:r w:rsidR="00370790" w:rsidRPr="00752C15">
        <w:rPr>
          <w:rFonts w:ascii="Times New Roman" w:hAnsi="Times New Roman" w:cs="Times New Roman"/>
        </w:rPr>
        <w:fldChar w:fldCharType="separate"/>
      </w:r>
      <w:r w:rsidR="00370790" w:rsidRPr="00752C15">
        <w:rPr>
          <w:rFonts w:ascii="Times New Roman" w:hAnsi="Times New Roman" w:cs="Times New Roman"/>
          <w:szCs w:val="24"/>
        </w:rPr>
        <w:t>National Council of the Slovak Republic, ‘Návrh vlády na vyslovenie súhlasu NRSR s opakovaným predĺžením núdzového stavu [Executive Petition for Parliamentary Consent to the Repeated Prolongation of the State of Emergency]’ &lt;https://www.nrsr.sk/web/Default.aspx?sid=zakony/cpt&amp;ZakZborID=13&amp;CisObdobia=8&amp;ID=430&gt;.</w:t>
      </w:r>
      <w:r w:rsidR="00370790" w:rsidRPr="00752C15">
        <w:rPr>
          <w:rFonts w:ascii="Times New Roman" w:hAnsi="Times New Roman" w:cs="Times New Roman"/>
        </w:rPr>
        <w:fldChar w:fldCharType="end"/>
      </w:r>
      <w:r w:rsidRPr="00752C15">
        <w:rPr>
          <w:rFonts w:ascii="Times New Roman" w:hAnsi="Times New Roman" w:cs="Times New Roman"/>
        </w:rPr>
        <w:t xml:space="preserve"> 83 out of the 108 present MPs (out of 150) endorsed the prolongation. </w:t>
      </w:r>
      <w:r w:rsidR="00195CA9" w:rsidRPr="00752C15">
        <w:rPr>
          <w:rFonts w:ascii="Times New Roman" w:hAnsi="Times New Roman" w:cs="Times New Roman"/>
        </w:rPr>
        <w:t>This proposal</w:t>
      </w:r>
      <w:r w:rsidR="00945389" w:rsidRPr="00752C15">
        <w:rPr>
          <w:rFonts w:ascii="Times New Roman" w:hAnsi="Times New Roman" w:cs="Times New Roman"/>
        </w:rPr>
        <w:t>, unlike the other two,</w:t>
      </w:r>
      <w:r w:rsidR="00195CA9" w:rsidRPr="00752C15">
        <w:rPr>
          <w:rFonts w:ascii="Times New Roman" w:hAnsi="Times New Roman" w:cs="Times New Roman"/>
        </w:rPr>
        <w:t xml:space="preserve"> was also reviewed by the parliamentary committees (on constitutional affairs and on healthcare)</w:t>
      </w:r>
      <w:r w:rsidR="00945389" w:rsidRPr="00752C15">
        <w:rPr>
          <w:rFonts w:ascii="Times New Roman" w:hAnsi="Times New Roman" w:cs="Times New Roman"/>
        </w:rPr>
        <w:t xml:space="preserve">, but without </w:t>
      </w:r>
      <w:r w:rsidR="00195CA9" w:rsidRPr="00752C15">
        <w:rPr>
          <w:rFonts w:ascii="Times New Roman" w:hAnsi="Times New Roman" w:cs="Times New Roman"/>
        </w:rPr>
        <w:t>any substantive remarks</w:t>
      </w:r>
      <w:r w:rsidR="00945389" w:rsidRPr="00752C15">
        <w:rPr>
          <w:rFonts w:ascii="Times New Roman" w:hAnsi="Times New Roman" w:cs="Times New Roman"/>
        </w:rPr>
        <w:t xml:space="preserve"> emerging from this review</w:t>
      </w:r>
      <w:r w:rsidR="00195CA9" w:rsidRPr="00752C15">
        <w:rPr>
          <w:rFonts w:ascii="Times New Roman" w:hAnsi="Times New Roman" w:cs="Times New Roman"/>
        </w:rPr>
        <w:t xml:space="preserve">. </w:t>
      </w:r>
    </w:p>
  </w:footnote>
  <w:footnote w:id="85">
    <w:p w14:paraId="2B59D6CB" w14:textId="67EBDEE5" w:rsidR="00095B12" w:rsidRPr="00752C15" w:rsidRDefault="00095B12" w:rsidP="00752C15">
      <w:pPr>
        <w:pStyle w:val="FootnoteText"/>
        <w:jc w:val="both"/>
        <w:rPr>
          <w:rFonts w:ascii="Times New Roman" w:hAnsi="Times New Roman" w:cs="Times New Roman"/>
          <w:lang w:val="sk-SK"/>
        </w:rPr>
      </w:pPr>
      <w:r w:rsidRPr="00DC52BD">
        <w:rPr>
          <w:rStyle w:val="FootnoteReference"/>
        </w:rPr>
        <w:footnoteRef/>
      </w:r>
      <w:r w:rsidRPr="00752C15">
        <w:rPr>
          <w:rFonts w:ascii="Times New Roman" w:hAnsi="Times New Roman" w:cs="Times New Roman"/>
        </w:rPr>
        <w:t xml:space="preserve"> </w:t>
      </w:r>
      <w:r w:rsidRPr="00752C15">
        <w:rPr>
          <w:rFonts w:ascii="Times New Roman" w:hAnsi="Times New Roman" w:cs="Times New Roman"/>
        </w:rPr>
        <w:fldChar w:fldCharType="begin"/>
      </w:r>
      <w:r w:rsidRPr="00752C15">
        <w:rPr>
          <w:rFonts w:ascii="Times New Roman" w:hAnsi="Times New Roman" w:cs="Times New Roman"/>
        </w:rPr>
        <w:instrText xml:space="preserve"> ADDIN ZOTERO_ITEM CSL_CITATION {"citationID":"SSB5yJde","properties":{"formattedCitation":"Government of the Slovak Republic, \\uc0\\u8216{}N\\uc0\\u225{}vrh na opakovan\\uc0\\u233{} pred\\uc0\\u314{}\\uc0\\u382{}enie \\uc0\\u269{}asu trvania n\\uc0\\u250{}dzov\\uc0\\u233{}ho stavu UV-2412/2021 [Proposal for a Repeated Prolongation of the State of Emergency]\\uc0\\u8217{} (n 79) 1\\uc0\\u8211{}2.","plainCitation":"Government of the Slovak Republic, ‘Návrh na opakované predĺženie času trvania núdzového stavu UV-2412/2021 [Proposal for a Repeated Prolongation of the State of Emergency]’ (n 79) 1–2.","noteIndex":84},"citationItems":[{"id":12058,"uris":["http://zotero.org/users/2073125/items/NF269LK4"],"itemData":{"id":12058,"type":"webpage","abstract":"Návrh na opakované predĺženie času trvania núdzového stavu podľa čl. 5 ods. 2 ústavného zákona č. 227/2002 Z. z. o bezpečnosti štátu v čase vojny, vojnového stavu, výnimočného stavu a núdzového stavu v znení neskorších predpisov vyhláseného uznesením vlády Slovenskej republiky č. 587 z 30. septembra 2020 a na prijatie opatrení podľa čl. 5 ods. 4 ústavného zákona č. 227/2002 Z. z. o bezpečnosti štátu v čase vojny, vojnového stavu, výnimočného stavu a núdzového stavu v znení neskorších predpisov","language":"SK","title":"Návrh na opakované predĺženie času trvania núdzového stavu UV-2412/2021 [Proposal for a Repeated Prolongation of the State of Emergency]","URL":"https://rokovania.gov.sk/RVL/Material/25719/1","author":[{"family":"Government of the Slovak Republic","given":""}],"issued":{"date-parts":[["2021"]]}},"locator":"1-2","label":"page"}],"schema":"https://github.com/citation-style-language/schema/raw/master/csl-citation.json"} </w:instrText>
      </w:r>
      <w:r w:rsidRPr="00752C15">
        <w:rPr>
          <w:rFonts w:ascii="Times New Roman" w:hAnsi="Times New Roman" w:cs="Times New Roman"/>
        </w:rPr>
        <w:fldChar w:fldCharType="separate"/>
      </w:r>
      <w:r w:rsidRPr="00752C15">
        <w:rPr>
          <w:rFonts w:ascii="Times New Roman" w:hAnsi="Times New Roman" w:cs="Times New Roman"/>
          <w:szCs w:val="24"/>
        </w:rPr>
        <w:t>Government of the Slovak Republic, ‘Návrh na opakované predĺženie času trvania núdzového stavu UV-2412/2021 [Proposal for a Repeated Prolongation of the State of Emergency]’ (n 79) 1–2.</w:t>
      </w:r>
      <w:r w:rsidRPr="00752C15">
        <w:rPr>
          <w:rFonts w:ascii="Times New Roman" w:hAnsi="Times New Roman" w:cs="Times New Roman"/>
        </w:rPr>
        <w:fldChar w:fldCharType="end"/>
      </w:r>
    </w:p>
  </w:footnote>
  <w:footnote w:id="86">
    <w:p w14:paraId="6B956579" w14:textId="1277E012" w:rsidR="00F959C8" w:rsidRPr="00752C15" w:rsidRDefault="00F959C8" w:rsidP="00752C15">
      <w:pPr>
        <w:pStyle w:val="FootnoteText"/>
        <w:jc w:val="both"/>
        <w:rPr>
          <w:rFonts w:ascii="Times New Roman" w:hAnsi="Times New Roman" w:cs="Times New Roman"/>
          <w:lang w:val="en-US"/>
        </w:rPr>
      </w:pPr>
      <w:r w:rsidRPr="00DC52BD">
        <w:rPr>
          <w:rStyle w:val="FootnoteReference"/>
        </w:rPr>
        <w:footnoteRef/>
      </w:r>
      <w:r w:rsidRPr="00752C15">
        <w:rPr>
          <w:rFonts w:ascii="Times New Roman" w:hAnsi="Times New Roman" w:cs="Times New Roman"/>
        </w:rPr>
        <w:t xml:space="preserve"> </w:t>
      </w:r>
      <w:r w:rsidRPr="00752C15">
        <w:rPr>
          <w:rFonts w:ascii="Times New Roman" w:hAnsi="Times New Roman" w:cs="Times New Roman"/>
          <w:lang w:val="en-US"/>
        </w:rPr>
        <w:t>PL. ÚS 10/2013 (10</w:t>
      </w:r>
      <w:r w:rsidR="00DC26F9" w:rsidRPr="00752C15">
        <w:rPr>
          <w:rFonts w:ascii="Times New Roman" w:hAnsi="Times New Roman" w:cs="Times New Roman"/>
          <w:lang w:val="en-US"/>
        </w:rPr>
        <w:t xml:space="preserve"> December </w:t>
      </w:r>
      <w:r w:rsidRPr="00752C15">
        <w:rPr>
          <w:rFonts w:ascii="Times New Roman" w:hAnsi="Times New Roman" w:cs="Times New Roman"/>
          <w:lang w:val="en-US"/>
        </w:rPr>
        <w:t>2014).</w:t>
      </w:r>
    </w:p>
  </w:footnote>
  <w:footnote w:id="87">
    <w:p w14:paraId="0EC48205" w14:textId="641BE470" w:rsidR="00F94CBA" w:rsidRPr="00752C15" w:rsidRDefault="00F94CBA" w:rsidP="00752C15">
      <w:pPr>
        <w:pStyle w:val="FootnoteText"/>
        <w:jc w:val="both"/>
        <w:rPr>
          <w:rFonts w:ascii="Times New Roman" w:hAnsi="Times New Roman" w:cs="Times New Roman"/>
          <w:lang w:val="sk-SK"/>
        </w:rPr>
      </w:pPr>
      <w:r w:rsidRPr="00DC52BD">
        <w:rPr>
          <w:rStyle w:val="FootnoteReference"/>
        </w:rPr>
        <w:footnoteRef/>
      </w:r>
      <w:r w:rsidRPr="00752C15">
        <w:rPr>
          <w:rFonts w:ascii="Times New Roman" w:hAnsi="Times New Roman" w:cs="Times New Roman"/>
        </w:rPr>
        <w:t xml:space="preserve"> </w:t>
      </w:r>
      <w:r w:rsidRPr="00752C15">
        <w:rPr>
          <w:rFonts w:ascii="Times New Roman" w:hAnsi="Times New Roman" w:cs="Times New Roman"/>
        </w:rPr>
        <w:fldChar w:fldCharType="begin"/>
      </w:r>
      <w:r w:rsidRPr="00752C15">
        <w:rPr>
          <w:rFonts w:ascii="Times New Roman" w:hAnsi="Times New Roman" w:cs="Times New Roman"/>
        </w:rPr>
        <w:instrText xml:space="preserve"> ADDIN ZOTERO_ITEM CSL_CITATION {"citationID":"OQiWA3w9","properties":{"formattedCitation":"Government of the Slovak Republic, \\uc0\\u8216{}N\\uc0\\u225{}vrh na opakovan\\uc0\\u233{} pred\\uc0\\u314{}\\uc0\\u382{}enie \\uc0\\u269{}asu trvania n\\uc0\\u250{}dzov\\uc0\\u233{}ho stavu UV-2412/2021 [Proposal for a Repeated Prolongation of the State of Emergency]\\uc0\\u8217{} (n 79) 3.","plainCitation":"Government of the Slovak Republic, ‘Návrh na opakované predĺženie času trvania núdzového stavu UV-2412/2021 [Proposal for a Repeated Prolongation of the State of Emergency]’ (n 79) 3.","noteIndex":86},"citationItems":[{"id":12058,"uris":["http://zotero.org/users/2073125/items/NF269LK4"],"itemData":{"id":12058,"type":"webpage","abstract":"Návrh na opakované predĺženie času trvania núdzového stavu podľa čl. 5 ods. 2 ústavného zákona č. 227/2002 Z. z. o bezpečnosti štátu v čase vojny, vojnového stavu, výnimočného stavu a núdzového stavu v znení neskorších predpisov vyhláseného uznesením vlády Slovenskej republiky č. 587 z 30. septembra 2020 a na prijatie opatrení podľa čl. 5 ods. 4 ústavného zákona č. 227/2002 Z. z. o bezpečnosti štátu v čase vojny, vojnového stavu, výnimočného stavu a núdzového stavu v znení neskorších predpisov","language":"SK","title":"Návrh na opakované predĺženie času trvania núdzového stavu UV-2412/2021 [Proposal for a Repeated Prolongation of the State of Emergency]","URL":"https://rokovania.gov.sk/RVL/Material/25719/1","author":[{"family":"Government of the Slovak Republic","given":""}],"issued":{"date-parts":[["2021"]]}},"locator":"3","label":"page"}],"schema":"https://github.com/citation-style-language/schema/raw/master/csl-citation.json"} </w:instrText>
      </w:r>
      <w:r w:rsidRPr="00752C15">
        <w:rPr>
          <w:rFonts w:ascii="Times New Roman" w:hAnsi="Times New Roman" w:cs="Times New Roman"/>
        </w:rPr>
        <w:fldChar w:fldCharType="separate"/>
      </w:r>
      <w:r w:rsidRPr="00752C15">
        <w:rPr>
          <w:rFonts w:ascii="Times New Roman" w:hAnsi="Times New Roman" w:cs="Times New Roman"/>
          <w:szCs w:val="24"/>
        </w:rPr>
        <w:t>Government of the Slovak Republic, ‘Návrh na opakované predĺženie času trvania núdzového stavu UV-2412/2021 [Proposal for a Repeated Prolongation of the State of Emergency]’ (n 79) 3.</w:t>
      </w:r>
      <w:r w:rsidRPr="00752C15">
        <w:rPr>
          <w:rFonts w:ascii="Times New Roman" w:hAnsi="Times New Roman" w:cs="Times New Roman"/>
        </w:rPr>
        <w:fldChar w:fldCharType="end"/>
      </w:r>
    </w:p>
  </w:footnote>
  <w:footnote w:id="88">
    <w:p w14:paraId="5DCDEFB3" w14:textId="02391FAA" w:rsidR="00D31677" w:rsidRPr="00752C15" w:rsidRDefault="00D31677" w:rsidP="00752C15">
      <w:pPr>
        <w:pStyle w:val="FootnoteText"/>
        <w:jc w:val="both"/>
        <w:rPr>
          <w:rFonts w:ascii="Times New Roman" w:hAnsi="Times New Roman" w:cs="Times New Roman"/>
          <w:lang w:val="sk-SK"/>
        </w:rPr>
      </w:pPr>
      <w:r w:rsidRPr="00DC52BD">
        <w:rPr>
          <w:rStyle w:val="FootnoteReference"/>
        </w:rPr>
        <w:footnoteRef/>
      </w:r>
      <w:r w:rsidRPr="00752C15">
        <w:rPr>
          <w:rFonts w:ascii="Times New Roman" w:hAnsi="Times New Roman" w:cs="Times New Roman"/>
        </w:rPr>
        <w:t xml:space="preserve"> </w:t>
      </w:r>
      <w:r w:rsidRPr="00752C15">
        <w:rPr>
          <w:rFonts w:ascii="Times New Roman" w:hAnsi="Times New Roman" w:cs="Times New Roman"/>
        </w:rPr>
        <w:fldChar w:fldCharType="begin"/>
      </w:r>
      <w:r w:rsidRPr="00752C15">
        <w:rPr>
          <w:rFonts w:ascii="Times New Roman" w:hAnsi="Times New Roman" w:cs="Times New Roman"/>
        </w:rPr>
        <w:instrText xml:space="preserve"> ADDIN ZOTERO_ITEM CSL_CITATION {"citationID":"4kUu5xTv","properties":{"formattedCitation":"ibid 3\\uc0\\u8211{}4.","plainCitation":"ibid 3–4.","noteIndex":87},"citationItems":[{"id":12058,"uris":["http://zotero.org/users/2073125/items/NF269LK4"],"itemData":{"id":12058,"type":"webpage","abstract":"Návrh na opakované predĺženie času trvania núdzového stavu podľa čl. 5 ods. 2 ústavného zákona č. 227/2002 Z. z. o bezpečnosti štátu v čase vojny, vojnového stavu, výnimočného stavu a núdzového stavu v znení neskorších predpisov vyhláseného uznesením vlády Slovenskej republiky č. 587 z 30. septembra 2020 a na prijatie opatrení podľa čl. 5 ods. 4 ústavného zákona č. 227/2002 Z. z. o bezpečnosti štátu v čase vojny, vojnového stavu, výnimočného stavu a núdzového stavu v znení neskorších predpisov","language":"SK","title":"Návrh na opakované predĺženie času trvania núdzového stavu UV-2412/2021 [Proposal for a Repeated Prolongation of the State of Emergency]","URL":"https://rokovania.gov.sk/RVL/Material/25719/1","author":[{"family":"Government of the Slovak Republic","given":""}],"issued":{"date-parts":[["2021"]]}},"locator":"3-4","label":"page"}],"schema":"https://github.com/citation-style-language/schema/raw/master/csl-citation.json"} </w:instrText>
      </w:r>
      <w:r w:rsidRPr="00752C15">
        <w:rPr>
          <w:rFonts w:ascii="Times New Roman" w:hAnsi="Times New Roman" w:cs="Times New Roman"/>
        </w:rPr>
        <w:fldChar w:fldCharType="separate"/>
      </w:r>
      <w:r w:rsidRPr="00752C15">
        <w:rPr>
          <w:rFonts w:ascii="Times New Roman" w:hAnsi="Times New Roman" w:cs="Times New Roman"/>
          <w:szCs w:val="24"/>
        </w:rPr>
        <w:t>ibid 3–4.</w:t>
      </w:r>
      <w:r w:rsidRPr="00752C15">
        <w:rPr>
          <w:rFonts w:ascii="Times New Roman" w:hAnsi="Times New Roman" w:cs="Times New Roman"/>
        </w:rPr>
        <w:fldChar w:fldCharType="end"/>
      </w:r>
    </w:p>
  </w:footnote>
  <w:footnote w:id="89">
    <w:p w14:paraId="79F743A7" w14:textId="23CFCD07" w:rsidR="00D31677" w:rsidRPr="00752C15" w:rsidRDefault="00D31677" w:rsidP="00752C15">
      <w:pPr>
        <w:pStyle w:val="FootnoteText"/>
        <w:jc w:val="both"/>
        <w:rPr>
          <w:rFonts w:ascii="Times New Roman" w:hAnsi="Times New Roman" w:cs="Times New Roman"/>
          <w:lang w:val="sk-SK"/>
        </w:rPr>
      </w:pPr>
      <w:r w:rsidRPr="00DC52BD">
        <w:rPr>
          <w:rStyle w:val="FootnoteReference"/>
        </w:rPr>
        <w:footnoteRef/>
      </w:r>
      <w:r w:rsidRPr="00752C15">
        <w:rPr>
          <w:rFonts w:ascii="Times New Roman" w:hAnsi="Times New Roman" w:cs="Times New Roman"/>
        </w:rPr>
        <w:t xml:space="preserve"> </w:t>
      </w:r>
      <w:r w:rsidRPr="00752C15">
        <w:rPr>
          <w:rFonts w:ascii="Times New Roman" w:hAnsi="Times New Roman" w:cs="Times New Roman"/>
        </w:rPr>
        <w:fldChar w:fldCharType="begin"/>
      </w:r>
      <w:r w:rsidRPr="00752C15">
        <w:rPr>
          <w:rFonts w:ascii="Times New Roman" w:hAnsi="Times New Roman" w:cs="Times New Roman"/>
        </w:rPr>
        <w:instrText xml:space="preserve"> ADDIN ZOTERO_ITEM CSL_CITATION {"citationID":"q7EybxfP","properties":{"formattedCitation":"ibid 4.","plainCitation":"ibid 4.","noteIndex":88},"citationItems":[{"id":12058,"uris":["http://zotero.org/users/2073125/items/NF269LK4"],"itemData":{"id":12058,"type":"webpage","abstract":"Návrh na opakované predĺženie času trvania núdzového stavu podľa čl. 5 ods. 2 ústavného zákona č. 227/2002 Z. z. o bezpečnosti štátu v čase vojny, vojnového stavu, výnimočného stavu a núdzového stavu v znení neskorších predpisov vyhláseného uznesením vlády Slovenskej republiky č. 587 z 30. septembra 2020 a na prijatie opatrení podľa čl. 5 ods. 4 ústavného zákona č. 227/2002 Z. z. o bezpečnosti štátu v čase vojny, vojnového stavu, výnimočného stavu a núdzového stavu v znení neskorších predpisov","language":"SK","title":"Návrh na opakované predĺženie času trvania núdzového stavu UV-2412/2021 [Proposal for a Repeated Prolongation of the State of Emergency]","URL":"https://rokovania.gov.sk/RVL/Material/25719/1","author":[{"family":"Government of the Slovak Republic","given":""}],"issued":{"date-parts":[["2021"]]}},"locator":"4","label":"page"}],"schema":"https://github.com/citation-style-language/schema/raw/master/csl-citation.json"} </w:instrText>
      </w:r>
      <w:r w:rsidRPr="00752C15">
        <w:rPr>
          <w:rFonts w:ascii="Times New Roman" w:hAnsi="Times New Roman" w:cs="Times New Roman"/>
        </w:rPr>
        <w:fldChar w:fldCharType="separate"/>
      </w:r>
      <w:r w:rsidRPr="00752C15">
        <w:rPr>
          <w:rFonts w:ascii="Times New Roman" w:hAnsi="Times New Roman" w:cs="Times New Roman"/>
        </w:rPr>
        <w:t>ibid 4.</w:t>
      </w:r>
      <w:r w:rsidRPr="00752C15">
        <w:rPr>
          <w:rFonts w:ascii="Times New Roman" w:hAnsi="Times New Roman" w:cs="Times New Roman"/>
        </w:rPr>
        <w:fldChar w:fldCharType="end"/>
      </w:r>
    </w:p>
  </w:footnote>
  <w:footnote w:id="90">
    <w:p w14:paraId="1689D242" w14:textId="3B2A34AE" w:rsidR="00082CC0" w:rsidRPr="00752C15" w:rsidRDefault="00082CC0" w:rsidP="00752C15">
      <w:pPr>
        <w:jc w:val="both"/>
        <w:rPr>
          <w:rFonts w:ascii="Times New Roman" w:hAnsi="Times New Roman" w:cs="Times New Roman"/>
          <w:sz w:val="20"/>
          <w:szCs w:val="20"/>
        </w:rPr>
      </w:pPr>
      <w:r w:rsidRPr="00DC52BD">
        <w:rPr>
          <w:rStyle w:val="FootnoteReference"/>
        </w:rPr>
        <w:footnoteRef/>
      </w:r>
      <w:r w:rsidRPr="00752C15">
        <w:rPr>
          <w:rFonts w:ascii="Times New Roman" w:hAnsi="Times New Roman" w:cs="Times New Roman"/>
          <w:sz w:val="20"/>
          <w:szCs w:val="20"/>
        </w:rPr>
        <w:t xml:space="preserve"> PL. </w:t>
      </w:r>
      <w:r w:rsidRPr="00752C15">
        <w:rPr>
          <w:rFonts w:ascii="Times New Roman" w:hAnsi="Times New Roman" w:cs="Times New Roman"/>
          <w:sz w:val="20"/>
          <w:szCs w:val="20"/>
          <w:lang w:val="sk-SK"/>
        </w:rPr>
        <w:t>ÚS 22/2020 (14</w:t>
      </w:r>
      <w:r w:rsidR="00DC26F9" w:rsidRPr="00752C15">
        <w:rPr>
          <w:rFonts w:ascii="Times New Roman" w:hAnsi="Times New Roman" w:cs="Times New Roman"/>
          <w:sz w:val="20"/>
          <w:szCs w:val="20"/>
          <w:lang w:val="sk-SK"/>
        </w:rPr>
        <w:t xml:space="preserve"> October </w:t>
      </w:r>
      <w:r w:rsidRPr="00752C15">
        <w:rPr>
          <w:rFonts w:ascii="Times New Roman" w:hAnsi="Times New Roman" w:cs="Times New Roman"/>
          <w:sz w:val="20"/>
          <w:szCs w:val="20"/>
          <w:lang w:val="sk-SK"/>
        </w:rPr>
        <w:t>2020).</w:t>
      </w:r>
      <w:r w:rsidRPr="00752C15">
        <w:rPr>
          <w:rFonts w:ascii="Times New Roman" w:hAnsi="Times New Roman" w:cs="Times New Roman"/>
          <w:sz w:val="20"/>
          <w:szCs w:val="20"/>
        </w:rPr>
        <w:t xml:space="preserve"> </w:t>
      </w:r>
    </w:p>
  </w:footnote>
  <w:footnote w:id="91">
    <w:p w14:paraId="2A942171" w14:textId="30AB04DE" w:rsidR="00D03951" w:rsidRPr="00752C15" w:rsidRDefault="00D03951" w:rsidP="00752C15">
      <w:pPr>
        <w:pStyle w:val="FootnoteText"/>
        <w:jc w:val="both"/>
        <w:rPr>
          <w:rFonts w:ascii="Times New Roman" w:hAnsi="Times New Roman" w:cs="Times New Roman"/>
          <w:lang w:val="sk-SK"/>
        </w:rPr>
      </w:pPr>
      <w:r w:rsidRPr="00DC52BD">
        <w:rPr>
          <w:rStyle w:val="FootnoteReference"/>
        </w:rPr>
        <w:footnoteRef/>
      </w:r>
      <w:r w:rsidRPr="00752C15">
        <w:rPr>
          <w:rFonts w:ascii="Times New Roman" w:hAnsi="Times New Roman" w:cs="Times New Roman"/>
        </w:rPr>
        <w:t xml:space="preserve"> </w:t>
      </w:r>
      <w:r w:rsidRPr="00752C15">
        <w:rPr>
          <w:rFonts w:ascii="Times New Roman" w:hAnsi="Times New Roman" w:cs="Times New Roman"/>
        </w:rPr>
        <w:fldChar w:fldCharType="begin"/>
      </w:r>
      <w:r w:rsidRPr="00752C15">
        <w:rPr>
          <w:rFonts w:ascii="Times New Roman" w:hAnsi="Times New Roman" w:cs="Times New Roman"/>
        </w:rPr>
        <w:instrText xml:space="preserve"> ADDIN ZOTERO_ITEM CSL_CITATION {"citationID":"S4coyIrG","properties":{"formattedCitation":"Government of the Slovak Republic, \\uc0\\u8216{}N\\uc0\\u225{}vrh na opakovan\\uc0\\u233{} pred\\uc0\\u314{}\\uc0\\u382{}enie \\uc0\\u269{}asu trvania n\\uc0\\u250{}dzov\\uc0\\u233{}ho stavu UV-2412/2021 [Proposal for a Repeated Prolongation of the State of Emergency]\\uc0\\u8217{} (n 79) 4\\uc0\\u8211{}5.","plainCitation":"Government of the Slovak Republic, ‘Návrh na opakované predĺženie času trvania núdzového stavu UV-2412/2021 [Proposal for a Repeated Prolongation of the State of Emergency]’ (n 79) 4–5.","noteIndex":90},"citationItems":[{"id":12058,"uris":["http://zotero.org/users/2073125/items/NF269LK4"],"itemData":{"id":12058,"type":"webpage","abstract":"Návrh na opakované predĺženie času trvania núdzového stavu podľa čl. 5 ods. 2 ústavného zákona č. 227/2002 Z. z. o bezpečnosti štátu v čase vojny, vojnového stavu, výnimočného stavu a núdzového stavu v znení neskorších predpisov vyhláseného uznesením vlády Slovenskej republiky č. 587 z 30. septembra 2020 a na prijatie opatrení podľa čl. 5 ods. 4 ústavného zákona č. 227/2002 Z. z. o bezpečnosti štátu v čase vojny, vojnového stavu, výnimočného stavu a núdzového stavu v znení neskorších predpisov","language":"SK","title":"Návrh na opakované predĺženie času trvania núdzového stavu UV-2412/2021 [Proposal for a Repeated Prolongation of the State of Emergency]","URL":"https://rokovania.gov.sk/RVL/Material/25719/1","author":[{"family":"Government of the Slovak Republic","given":""}],"issued":{"date-parts":[["2021"]]}},"locator":"4-5","label":"page"}],"schema":"https://github.com/citation-style-language/schema/raw/master/csl-citation.json"} </w:instrText>
      </w:r>
      <w:r w:rsidRPr="00752C15">
        <w:rPr>
          <w:rFonts w:ascii="Times New Roman" w:hAnsi="Times New Roman" w:cs="Times New Roman"/>
        </w:rPr>
        <w:fldChar w:fldCharType="separate"/>
      </w:r>
      <w:r w:rsidRPr="00752C15">
        <w:rPr>
          <w:rFonts w:ascii="Times New Roman" w:hAnsi="Times New Roman" w:cs="Times New Roman"/>
          <w:szCs w:val="24"/>
        </w:rPr>
        <w:t>Government of the Slovak Republic, ‘Návrh na opakované predĺženie času trvania núdzového stavu UV-2412/2021 [Proposal for a Repeated Prolongation of the State of Emergency]’ (n 79) 4–5.</w:t>
      </w:r>
      <w:r w:rsidRPr="00752C15">
        <w:rPr>
          <w:rFonts w:ascii="Times New Roman" w:hAnsi="Times New Roman" w:cs="Times New Roman"/>
        </w:rPr>
        <w:fldChar w:fldCharType="end"/>
      </w:r>
    </w:p>
  </w:footnote>
  <w:footnote w:id="92">
    <w:p w14:paraId="36C278BD" w14:textId="123EF056" w:rsidR="00AD7DA6" w:rsidRPr="00752C15" w:rsidRDefault="00AD7DA6" w:rsidP="00752C15">
      <w:pPr>
        <w:pStyle w:val="FootnoteText"/>
        <w:jc w:val="both"/>
        <w:rPr>
          <w:rFonts w:ascii="Times New Roman" w:hAnsi="Times New Roman" w:cs="Times New Roman"/>
        </w:rPr>
      </w:pPr>
      <w:r w:rsidRPr="00DC52BD">
        <w:rPr>
          <w:rStyle w:val="FootnoteReference"/>
        </w:rPr>
        <w:footnoteRef/>
      </w:r>
      <w:r w:rsidRPr="00752C15">
        <w:rPr>
          <w:rFonts w:ascii="Times New Roman" w:hAnsi="Times New Roman" w:cs="Times New Roman"/>
        </w:rPr>
        <w:t xml:space="preserve"> It is unclear why this was not included in the main proposal. It seems as if the supplementary material was prepared by the ministry of justice</w:t>
      </w:r>
      <w:r w:rsidR="00DD6AD3" w:rsidRPr="00752C15">
        <w:rPr>
          <w:rFonts w:ascii="Times New Roman" w:hAnsi="Times New Roman" w:cs="Times New Roman"/>
        </w:rPr>
        <w:t xml:space="preserve">, hence avoiding the </w:t>
      </w:r>
      <w:r w:rsidRPr="00752C15">
        <w:rPr>
          <w:rFonts w:ascii="Times New Roman" w:hAnsi="Times New Roman" w:cs="Times New Roman"/>
        </w:rPr>
        <w:t>endorsement</w:t>
      </w:r>
      <w:r w:rsidR="00DD6AD3" w:rsidRPr="00752C15">
        <w:rPr>
          <w:rFonts w:ascii="Times New Roman" w:hAnsi="Times New Roman" w:cs="Times New Roman"/>
        </w:rPr>
        <w:t xml:space="preserve"> requirement</w:t>
      </w:r>
      <w:r w:rsidRPr="00752C15">
        <w:rPr>
          <w:rFonts w:ascii="Times New Roman" w:hAnsi="Times New Roman" w:cs="Times New Roman"/>
        </w:rPr>
        <w:t xml:space="preserve"> by the PM. Time constraints might also have played a role</w:t>
      </w:r>
      <w:r w:rsidR="003C6B86" w:rsidRPr="00752C15">
        <w:rPr>
          <w:rFonts w:ascii="Times New Roman" w:hAnsi="Times New Roman" w:cs="Times New Roman"/>
        </w:rPr>
        <w:t>, as indicated</w:t>
      </w:r>
      <w:r w:rsidR="00195CA9" w:rsidRPr="00752C15">
        <w:rPr>
          <w:rFonts w:ascii="Times New Roman" w:hAnsi="Times New Roman" w:cs="Times New Roman"/>
        </w:rPr>
        <w:t xml:space="preserve"> by the several grammar errors in the material by the ministry. </w:t>
      </w:r>
    </w:p>
  </w:footnote>
  <w:footnote w:id="93">
    <w:p w14:paraId="549C5580" w14:textId="5D73208B" w:rsidR="00036BD1" w:rsidRPr="00752C15" w:rsidRDefault="00036BD1" w:rsidP="00752C15">
      <w:pPr>
        <w:pStyle w:val="FootnoteText"/>
        <w:jc w:val="both"/>
        <w:rPr>
          <w:rFonts w:ascii="Times New Roman" w:hAnsi="Times New Roman" w:cs="Times New Roman"/>
          <w:lang w:val="en-IN"/>
        </w:rPr>
      </w:pPr>
      <w:r w:rsidRPr="00DC52BD">
        <w:rPr>
          <w:rStyle w:val="FootnoteReference"/>
        </w:rPr>
        <w:footnoteRef/>
      </w:r>
      <w:r w:rsidR="00111A38" w:rsidRPr="00752C15">
        <w:rPr>
          <w:rFonts w:ascii="Times New Roman" w:hAnsi="Times New Roman" w:cs="Times New Roman"/>
        </w:rPr>
        <w:t xml:space="preserve"> </w:t>
      </w:r>
      <w:r w:rsidR="00111A38" w:rsidRPr="00752C15">
        <w:rPr>
          <w:rFonts w:ascii="Times New Roman" w:hAnsi="Times New Roman" w:cs="Times New Roman"/>
        </w:rPr>
        <w:fldChar w:fldCharType="begin"/>
      </w:r>
      <w:r w:rsidR="0089746C" w:rsidRPr="00752C15">
        <w:rPr>
          <w:rFonts w:ascii="Times New Roman" w:hAnsi="Times New Roman" w:cs="Times New Roman"/>
        </w:rPr>
        <w:instrText xml:space="preserve"> ADDIN ZOTERO_ITEM CSL_CITATION {"citationID":"ifPaycre","properties":{"formattedCitation":"National Council of the Slovak Republic, \\uc0\\u8216{}N\\uc0\\u225{}vrh vl\\uc0\\u225{}dy na vyslovenie s\\uc0\\u250{}hlasu NRSR s opakovan\\uc0\\u253{}m pred\\uc0\\u314{}\\uc0\\u382{}en\\uc0\\u237{}m n\\uc0\\u250{}dzov\\uc0\\u233{}ho stavu [Executive Petition for Parliamentary Consent to the Repeated Prolongation of the State of Emergency]\\uc0\\u8217{} &lt;https://www.nrsr.sk/web/Default.aspx?sid=zakony/cpt&amp;ZakZborID=13&amp;CisObdobia=8&amp;ID=488&gt;.","plainCitation":"National Council of the Slovak Republic, ‘Návrh vlády na vyslovenie súhlasu NRSR s opakovaným predĺžením núdzového stavu [Executive Petition for Parliamentary Consent to the Repeated Prolongation of the State of Emergency]’ &lt;https://www.nrsr.sk/web/Default.aspx?sid=zakony/cpt&amp;ZakZborID=13&amp;CisObdobia=8&amp;ID=488&gt;.","noteIndex":92},"citationItems":[{"id":12067,"uris":["http://zotero.org/users/2073125/items/S6AUCE8J"],"itemData":{"id":12067,"type":"document","abstract":"Návrh vlády Slovenskej republiky na vyslovenie súhlasu Národnej rady Slovenskej republiky s opakovaným predĺžením núdzového stavu vyhláseného z dôvodu ohrozenia života a zdravia osôb v príčinnej súvislosti so vznikom pandémie","language":"SK","note":"430","title":"Návrh vlády na vyslovenie súhlasu NRSR s opakovaným predĺžením núdzového stavu [Executive Petition for Parliamentary Consent to the Repeated Prolongation of the State of Emergency]","URL":"https://www.nrsr.sk/web/Default.aspx?sid=zakony/cpt&amp;ZakZborID=13&amp;CisObdobia=8&amp;ID=488","author":[{"family":"National Council of the Slovak Republic","given":""}],"issued":{"date-parts":[["2021"]]}}}],"schema":"https://github.com/citation-style-language/schema/raw/master/csl-citation.json"} </w:instrText>
      </w:r>
      <w:r w:rsidR="00111A38" w:rsidRPr="00752C15">
        <w:rPr>
          <w:rFonts w:ascii="Times New Roman" w:hAnsi="Times New Roman" w:cs="Times New Roman"/>
        </w:rPr>
        <w:fldChar w:fldCharType="separate"/>
      </w:r>
      <w:r w:rsidR="0089746C" w:rsidRPr="00752C15">
        <w:rPr>
          <w:rFonts w:ascii="Times New Roman" w:hAnsi="Times New Roman" w:cs="Times New Roman"/>
          <w:szCs w:val="24"/>
        </w:rPr>
        <w:t>National Council of the Slovak Republic, ‘Návrh vlády na vyslovenie súhlasu NRSR s opakovaným predĺžením núdzového stavu [Executive Petition for Parliamentary Consent to the Repeated Prolongation of the State of Emergency]’ &lt;https://www.nrsr.sk/web/Default.aspx?sid=zakony/cpt&amp;ZakZborID=13&amp;CisObdobia=8&amp;ID=488&gt;.</w:t>
      </w:r>
      <w:r w:rsidR="00111A38" w:rsidRPr="00752C15">
        <w:rPr>
          <w:rFonts w:ascii="Times New Roman" w:hAnsi="Times New Roman" w:cs="Times New Roman"/>
        </w:rPr>
        <w:fldChar w:fldCharType="end"/>
      </w:r>
      <w:r w:rsidRPr="00752C15">
        <w:rPr>
          <w:rFonts w:ascii="Times New Roman" w:hAnsi="Times New Roman" w:cs="Times New Roman"/>
        </w:rPr>
        <w:t xml:space="preserve"> 78 out of the 96 present MPs (out of 150) endorsed the prolongation. </w:t>
      </w:r>
    </w:p>
  </w:footnote>
  <w:footnote w:id="94">
    <w:p w14:paraId="38D652AE" w14:textId="0163DF69" w:rsidR="00B8059E" w:rsidRPr="00752C15" w:rsidRDefault="00B8059E" w:rsidP="00752C15">
      <w:pPr>
        <w:pStyle w:val="FootnoteText"/>
        <w:jc w:val="both"/>
        <w:rPr>
          <w:rFonts w:ascii="Times New Roman" w:hAnsi="Times New Roman" w:cs="Times New Roman"/>
          <w:lang w:val="sk-SK"/>
        </w:rPr>
      </w:pPr>
      <w:r w:rsidRPr="00DC52BD">
        <w:rPr>
          <w:rStyle w:val="FootnoteReference"/>
        </w:rPr>
        <w:footnoteRef/>
      </w:r>
      <w:r w:rsidRPr="00752C15">
        <w:rPr>
          <w:rFonts w:ascii="Times New Roman" w:hAnsi="Times New Roman" w:cs="Times New Roman"/>
        </w:rPr>
        <w:t xml:space="preserve"> </w:t>
      </w:r>
      <w:r w:rsidRPr="00752C15">
        <w:rPr>
          <w:rFonts w:ascii="Times New Roman" w:hAnsi="Times New Roman" w:cs="Times New Roman"/>
          <w:lang w:val="sk-SK"/>
        </w:rPr>
        <w:t xml:space="preserve">PL. </w:t>
      </w:r>
      <w:r w:rsidRPr="00752C15">
        <w:rPr>
          <w:rFonts w:ascii="Times New Roman" w:hAnsi="Times New Roman" w:cs="Times New Roman"/>
          <w:lang w:val="hu-HU"/>
        </w:rPr>
        <w:t xml:space="preserve"> </w:t>
      </w:r>
      <w:r w:rsidRPr="00752C15">
        <w:rPr>
          <w:rFonts w:ascii="Times New Roman" w:hAnsi="Times New Roman" w:cs="Times New Roman"/>
          <w:lang w:val="sk-SK"/>
        </w:rPr>
        <w:t>ÚS 2/2021.</w:t>
      </w:r>
    </w:p>
  </w:footnote>
  <w:footnote w:id="95">
    <w:p w14:paraId="274D3CF0" w14:textId="1396C3E0" w:rsidR="00195CA9" w:rsidRPr="00752C15" w:rsidRDefault="00195CA9" w:rsidP="00752C15">
      <w:pPr>
        <w:pStyle w:val="FootnoteText"/>
        <w:jc w:val="both"/>
        <w:rPr>
          <w:rFonts w:ascii="Times New Roman" w:hAnsi="Times New Roman" w:cs="Times New Roman"/>
          <w:lang w:val="en-IN"/>
        </w:rPr>
      </w:pPr>
      <w:r w:rsidRPr="00DC52BD">
        <w:rPr>
          <w:rStyle w:val="FootnoteReference"/>
        </w:rPr>
        <w:footnoteRef/>
      </w:r>
      <w:r w:rsidRPr="00752C15">
        <w:rPr>
          <w:rFonts w:ascii="Times New Roman" w:hAnsi="Times New Roman" w:cs="Times New Roman"/>
        </w:rPr>
        <w:t xml:space="preserve"> </w:t>
      </w:r>
      <w:r w:rsidRPr="00752C15">
        <w:rPr>
          <w:rFonts w:ascii="Times New Roman" w:hAnsi="Times New Roman" w:cs="Times New Roman"/>
          <w:lang w:val="en-IN"/>
        </w:rPr>
        <w:t>Certain segments of the wording (</w:t>
      </w:r>
      <w:proofErr w:type="gramStart"/>
      <w:r w:rsidRPr="00752C15">
        <w:rPr>
          <w:rFonts w:ascii="Times New Roman" w:hAnsi="Times New Roman" w:cs="Times New Roman"/>
          <w:lang w:val="en-IN"/>
        </w:rPr>
        <w:t>e.g.</w:t>
      </w:r>
      <w:proofErr w:type="gramEnd"/>
      <w:r w:rsidRPr="00752C15">
        <w:rPr>
          <w:rFonts w:ascii="Times New Roman" w:hAnsi="Times New Roman" w:cs="Times New Roman"/>
          <w:lang w:val="en-IN"/>
        </w:rPr>
        <w:t xml:space="preserve"> the </w:t>
      </w:r>
      <w:r w:rsidR="00DD6AD3" w:rsidRPr="00752C15">
        <w:rPr>
          <w:rFonts w:ascii="Times New Roman" w:hAnsi="Times New Roman" w:cs="Times New Roman"/>
          <w:lang w:val="en-IN"/>
        </w:rPr>
        <w:t>c</w:t>
      </w:r>
      <w:r w:rsidRPr="00752C15">
        <w:rPr>
          <w:rFonts w:ascii="Times New Roman" w:hAnsi="Times New Roman" w:cs="Times New Roman"/>
          <w:lang w:val="en-IN"/>
        </w:rPr>
        <w:t xml:space="preserve">onclusion) are copied from the previous proposal without changes (even with a grammar error). </w:t>
      </w:r>
    </w:p>
  </w:footnote>
  <w:footnote w:id="96">
    <w:p w14:paraId="08A63DEA" w14:textId="747BB823" w:rsidR="00BD67DB" w:rsidRPr="00752C15" w:rsidRDefault="00BD67DB" w:rsidP="00752C15">
      <w:pPr>
        <w:pStyle w:val="FootnoteText"/>
        <w:jc w:val="both"/>
        <w:rPr>
          <w:rFonts w:ascii="Times New Roman" w:hAnsi="Times New Roman" w:cs="Times New Roman"/>
          <w:lang w:val="sk-SK"/>
        </w:rPr>
      </w:pPr>
      <w:r w:rsidRPr="00DC52BD">
        <w:rPr>
          <w:rStyle w:val="FootnoteReference"/>
        </w:rPr>
        <w:footnoteRef/>
      </w:r>
      <w:r w:rsidRPr="00752C15">
        <w:rPr>
          <w:rFonts w:ascii="Times New Roman" w:hAnsi="Times New Roman" w:cs="Times New Roman"/>
        </w:rPr>
        <w:t xml:space="preserve"> </w:t>
      </w:r>
      <w:r w:rsidRPr="00752C15">
        <w:rPr>
          <w:rFonts w:ascii="Times New Roman" w:hAnsi="Times New Roman" w:cs="Times New Roman"/>
        </w:rPr>
        <w:fldChar w:fldCharType="begin"/>
      </w:r>
      <w:r w:rsidRPr="00752C15">
        <w:rPr>
          <w:rFonts w:ascii="Times New Roman" w:hAnsi="Times New Roman" w:cs="Times New Roman"/>
        </w:rPr>
        <w:instrText xml:space="preserve"> ADDIN ZOTERO_ITEM CSL_CITATION {"citationID":"nRNryarK","properties":{"formattedCitation":"Government of the Slovak Republic, \\uc0\\u8216{}N\\uc0\\u225{}vrh na opakovan\\uc0\\u233{} pred\\uc0\\u314{}\\uc0\\u382{}enie \\uc0\\u269{}asu trvania n\\uc0\\u250{}dzov\\uc0\\u233{}ho stavu UV-4890/2021 [Proposal for a Repeated Prolongation of the State of Emergency]\\uc0\\u8217{} (n 80) 2.","plainCitation":"Government of the Slovak Republic, ‘Návrh na opakované predĺženie času trvania núdzového stavu UV-4890/2021 [Proposal for a Repeated Prolongation of the State of Emergency]’ (n 80) 2.","noteIndex":95},"citationItems":[{"id":12059,"uris":["http://zotero.org/users/2073125/items/UGAALRTU"],"itemData":{"id":12059,"type":"webpage","abstract":"Návrh na opakované predĺženie času trvania núdzového stavu podľa čl. 5 ods. 2 ústavného zákona č. 227/2002 Z. z. o bezpečnosti štátu v čase vojny, vojnového stavu, výnimočného stavu a núdzového stavu v znení neskorších predpisov vyhláseného uznesením vlády Slovenskej republiky č. 587 z 30. septembra 2020 a na prijatie opatrení podľa čl. 5 ods. 4 ústavného zákona č. 227/2002 Z. z. o bezpečnosti štátu v čase vojny, vojnového stavu, výnimočného stavu a núdzového stavu v znení neskorších predpisov","language":"SK","title":"Návrh na opakované predĺženie času trvania núdzového stavu UV-4890/2021 [Proposal for a Repeated Prolongation of the State of Emergency]","URL":"https://rokovania.gov.sk/RVL/Material/25827/1","author":[{"family":"Government of the Slovak Republic","given":""}],"issued":{"date-parts":[["2021"]]}},"locator":"2","label":"page"}],"schema":"https://github.com/citation-style-language/schema/raw/master/csl-citation.json"} </w:instrText>
      </w:r>
      <w:r w:rsidRPr="00752C15">
        <w:rPr>
          <w:rFonts w:ascii="Times New Roman" w:hAnsi="Times New Roman" w:cs="Times New Roman"/>
        </w:rPr>
        <w:fldChar w:fldCharType="separate"/>
      </w:r>
      <w:r w:rsidRPr="00752C15">
        <w:rPr>
          <w:rFonts w:ascii="Times New Roman" w:hAnsi="Times New Roman" w:cs="Times New Roman"/>
          <w:szCs w:val="24"/>
        </w:rPr>
        <w:t>Government of the Slovak Republic, ‘Návrh na opakované predĺženie času trvania núdzového stavu UV-4890/2021 [Proposal for a Repeated Prolongation of the State of Emergency]’ (n 80) 2.</w:t>
      </w:r>
      <w:r w:rsidRPr="00752C15">
        <w:rPr>
          <w:rFonts w:ascii="Times New Roman" w:hAnsi="Times New Roman" w:cs="Times New Roman"/>
        </w:rPr>
        <w:fldChar w:fldCharType="end"/>
      </w:r>
    </w:p>
  </w:footnote>
  <w:footnote w:id="97">
    <w:p w14:paraId="5DBE3605" w14:textId="4DF95A54" w:rsidR="00B12225" w:rsidRPr="00752C15" w:rsidRDefault="00B12225" w:rsidP="00752C15">
      <w:pPr>
        <w:pStyle w:val="FootnoteText"/>
        <w:jc w:val="both"/>
        <w:rPr>
          <w:rFonts w:ascii="Times New Roman" w:hAnsi="Times New Roman" w:cs="Times New Roman"/>
          <w:lang w:val="sk-SK"/>
        </w:rPr>
      </w:pPr>
      <w:r w:rsidRPr="00DC52BD">
        <w:rPr>
          <w:rStyle w:val="FootnoteReference"/>
        </w:rPr>
        <w:footnoteRef/>
      </w:r>
      <w:r w:rsidRPr="00752C15">
        <w:rPr>
          <w:rFonts w:ascii="Times New Roman" w:hAnsi="Times New Roman" w:cs="Times New Roman"/>
        </w:rPr>
        <w:t xml:space="preserve"> </w:t>
      </w:r>
      <w:r w:rsidRPr="00752C15">
        <w:rPr>
          <w:rFonts w:ascii="Times New Roman" w:hAnsi="Times New Roman" w:cs="Times New Roman"/>
        </w:rPr>
        <w:fldChar w:fldCharType="begin"/>
      </w:r>
      <w:r w:rsidRPr="00752C15">
        <w:rPr>
          <w:rFonts w:ascii="Times New Roman" w:hAnsi="Times New Roman" w:cs="Times New Roman"/>
        </w:rPr>
        <w:instrText xml:space="preserve"> ADDIN ZOTERO_ITEM CSL_CITATION {"citationID":"IGWPFKBJ","properties":{"formattedCitation":"ibid 7.","plainCitation":"ibid 7.","noteIndex":96},"citationItems":[{"id":12059,"uris":["http://zotero.org/users/2073125/items/UGAALRTU"],"itemData":{"id":12059,"type":"webpage","abstract":"Návrh na opakované predĺženie času trvania núdzového stavu podľa čl. 5 ods. 2 ústavného zákona č. 227/2002 Z. z. o bezpečnosti štátu v čase vojny, vojnového stavu, výnimočného stavu a núdzového stavu v znení neskorších predpisov vyhláseného uznesením vlády Slovenskej republiky č. 587 z 30. septembra 2020 a na prijatie opatrení podľa čl. 5 ods. 4 ústavného zákona č. 227/2002 Z. z. o bezpečnosti štátu v čase vojny, vojnového stavu, výnimočného stavu a núdzového stavu v znení neskorších predpisov","language":"SK","title":"Návrh na opakované predĺženie času trvania núdzového stavu UV-4890/2021 [Proposal for a Repeated Prolongation of the State of Emergency]","URL":"https://rokovania.gov.sk/RVL/Material/25827/1","author":[{"family":"Government of the Slovak Republic","given":""}],"issued":{"date-parts":[["2021"]]}},"locator":"7","label":"page"}],"schema":"https://github.com/citation-style-language/schema/raw/master/csl-citation.json"} </w:instrText>
      </w:r>
      <w:r w:rsidRPr="00752C15">
        <w:rPr>
          <w:rFonts w:ascii="Times New Roman" w:hAnsi="Times New Roman" w:cs="Times New Roman"/>
        </w:rPr>
        <w:fldChar w:fldCharType="separate"/>
      </w:r>
      <w:r w:rsidRPr="00752C15">
        <w:rPr>
          <w:rFonts w:ascii="Times New Roman" w:hAnsi="Times New Roman" w:cs="Times New Roman"/>
        </w:rPr>
        <w:t>ibid 7.</w:t>
      </w:r>
      <w:r w:rsidRPr="00752C15">
        <w:rPr>
          <w:rFonts w:ascii="Times New Roman" w:hAnsi="Times New Roman" w:cs="Times New Roman"/>
        </w:rPr>
        <w:fldChar w:fldCharType="end"/>
      </w:r>
    </w:p>
  </w:footnote>
  <w:footnote w:id="98">
    <w:p w14:paraId="165532B8" w14:textId="3B61581E" w:rsidR="00254C4B" w:rsidRPr="00752C15" w:rsidRDefault="00254C4B" w:rsidP="00752C15">
      <w:pPr>
        <w:pStyle w:val="FootnoteText"/>
        <w:jc w:val="both"/>
        <w:rPr>
          <w:rFonts w:ascii="Times New Roman" w:hAnsi="Times New Roman" w:cs="Times New Roman"/>
          <w:lang w:val="en-IN"/>
        </w:rPr>
      </w:pPr>
      <w:r w:rsidRPr="00DC52BD">
        <w:rPr>
          <w:rStyle w:val="FootnoteReference"/>
        </w:rPr>
        <w:footnoteRef/>
      </w:r>
      <w:r w:rsidRPr="00752C15">
        <w:rPr>
          <w:rFonts w:ascii="Times New Roman" w:hAnsi="Times New Roman" w:cs="Times New Roman"/>
        </w:rPr>
        <w:t xml:space="preserve"> </w:t>
      </w:r>
      <w:r w:rsidR="0087181B" w:rsidRPr="00752C15">
        <w:rPr>
          <w:rFonts w:ascii="Times New Roman" w:hAnsi="Times New Roman" w:cs="Times New Roman"/>
          <w:lang w:val="en-IN"/>
        </w:rPr>
        <w:t>This is evidenced by the</w:t>
      </w:r>
      <w:r w:rsidRPr="00752C15">
        <w:rPr>
          <w:rFonts w:ascii="Times New Roman" w:hAnsi="Times New Roman" w:cs="Times New Roman"/>
          <w:lang w:val="en-IN"/>
        </w:rPr>
        <w:t xml:space="preserve"> gendered terms of ‘pater’ and ‘man’ in the concepts that the executive opted to invoke in this context, both referring to the (also gendered) ‘reasonable man’ standard from English common law. </w:t>
      </w:r>
    </w:p>
  </w:footnote>
  <w:footnote w:id="99">
    <w:p w14:paraId="2B33FA4B" w14:textId="1E3D7FB1" w:rsidR="00CB44B7" w:rsidRPr="00752C15" w:rsidRDefault="00CB44B7" w:rsidP="00752C15">
      <w:pPr>
        <w:pStyle w:val="FootnoteText"/>
        <w:jc w:val="both"/>
        <w:rPr>
          <w:rFonts w:ascii="Times New Roman" w:hAnsi="Times New Roman" w:cs="Times New Roman"/>
          <w:lang w:val="en-IN"/>
        </w:rPr>
      </w:pPr>
      <w:r w:rsidRPr="00DC52BD">
        <w:rPr>
          <w:rStyle w:val="FootnoteReference"/>
        </w:rPr>
        <w:footnoteRef/>
      </w:r>
      <w:r w:rsidRPr="00752C15">
        <w:rPr>
          <w:rFonts w:ascii="Times New Roman" w:hAnsi="Times New Roman" w:cs="Times New Roman"/>
        </w:rPr>
        <w:t xml:space="preserve"> </w:t>
      </w:r>
      <w:r w:rsidRPr="00752C15">
        <w:rPr>
          <w:rFonts w:ascii="Times New Roman" w:hAnsi="Times New Roman" w:cs="Times New Roman"/>
          <w:lang w:val="en-IN"/>
        </w:rPr>
        <w:t xml:space="preserve">This duality is indirectly embraced by </w:t>
      </w:r>
      <w:proofErr w:type="spellStart"/>
      <w:r w:rsidRPr="00752C15">
        <w:rPr>
          <w:rFonts w:ascii="Times New Roman" w:hAnsi="Times New Roman" w:cs="Times New Roman"/>
          <w:lang w:val="en-IN"/>
        </w:rPr>
        <w:t>Pozen</w:t>
      </w:r>
      <w:proofErr w:type="spellEnd"/>
      <w:r w:rsidRPr="00752C15">
        <w:rPr>
          <w:rFonts w:ascii="Times New Roman" w:hAnsi="Times New Roman" w:cs="Times New Roman"/>
          <w:lang w:val="en-IN"/>
        </w:rPr>
        <w:t xml:space="preserve"> and </w:t>
      </w:r>
      <w:proofErr w:type="spellStart"/>
      <w:r w:rsidRPr="00752C15">
        <w:rPr>
          <w:rFonts w:ascii="Times New Roman" w:hAnsi="Times New Roman" w:cs="Times New Roman"/>
          <w:lang w:val="en-IN"/>
        </w:rPr>
        <w:t>Scheppele</w:t>
      </w:r>
      <w:proofErr w:type="spellEnd"/>
      <w:r w:rsidRPr="00752C15">
        <w:rPr>
          <w:rFonts w:ascii="Times New Roman" w:hAnsi="Times New Roman" w:cs="Times New Roman"/>
          <w:lang w:val="en-IN"/>
        </w:rPr>
        <w:t xml:space="preserve"> when they refer to the two functions of constitutions identified by Hannah Arendt: limiting power and constituting ‘effective power’. </w:t>
      </w:r>
      <w:r w:rsidRPr="00752C15">
        <w:rPr>
          <w:rFonts w:ascii="Times New Roman" w:hAnsi="Times New Roman" w:cs="Times New Roman"/>
          <w:lang w:val="en-IN"/>
        </w:rPr>
        <w:fldChar w:fldCharType="begin"/>
      </w:r>
      <w:r w:rsidR="003F255E" w:rsidRPr="00752C15">
        <w:rPr>
          <w:rFonts w:ascii="Times New Roman" w:hAnsi="Times New Roman" w:cs="Times New Roman"/>
          <w:lang w:val="en-IN"/>
        </w:rPr>
        <w:instrText xml:space="preserve"> ADDIN ZOTERO_ITEM CSL_CITATION {"citationID":"gry8JQWw","properties":{"formattedCitation":"Scheppele and Pozen (n 23) 47\\uc0\\u8211{}52.","plainCitation":"Scheppele and Pozen (n 23) 47–52.","noteIndex":90},"citationItems":[{"id":4609,"uris":["http://zotero.org/users/2073125/items/Q9539B79"],"itemData":{"id":4609,"type":"chapter","abstract":"The COVID-19 pandemic has presented an important case study, on a global scale, of how democracy works - and fails to work - today. From leadership to citizenship, from due process to checks and balances, from globalization to misinformation, from solidarity within and across borders to the role of expertise, key democratic concepts both old and new are now being put to the test. The future of democracy around the world is at issue as today's governments manage their responses to the pandemic. Bringing together some of today's most creative thinkers, these essays offer a variety of inquiries into democracy during the global pandemic with a view to imagining post-crisis political conditions. Representing different regions and disciplines, including law, politics, philosophy, religion, and sociology, eighteen voices offer different outlooks - optimistic and pessimistic - on the future.","container-title":"Democracy in Times of Pandemic: Different Futures Imagined","event-place":"Cambridge","ISBN":"978-1-108-84536-6","language":"English","page":"38-53","publisher":"CUP","publisher-place":"Cambridge","source":"Amazon","title":"Executive Overreach and Underreach in the Pandemic","editor":[{"family":"Maduro","given":"Miguel Poiares"},{"family":"Kahn","given":"Paul W."}],"author":[{"family":"Scheppele","given":"Kim Lane"},{"family":"Pozen","given":"David"}],"issued":{"date-parts":[["2020",11,12]]}},"locator":"47-52"}],"schema":"https://github.com/citation-style-language/schema/raw/master/csl-citation.json"} </w:instrText>
      </w:r>
      <w:r w:rsidRPr="00752C15">
        <w:rPr>
          <w:rFonts w:ascii="Times New Roman" w:hAnsi="Times New Roman" w:cs="Times New Roman"/>
          <w:lang w:val="en-IN"/>
        </w:rPr>
        <w:fldChar w:fldCharType="separate"/>
      </w:r>
      <w:r w:rsidR="003F255E" w:rsidRPr="00752C15">
        <w:rPr>
          <w:rFonts w:ascii="Times New Roman" w:hAnsi="Times New Roman" w:cs="Times New Roman"/>
          <w:szCs w:val="24"/>
        </w:rPr>
        <w:t>Scheppele and Pozen (n 23) 47–52.</w:t>
      </w:r>
      <w:r w:rsidRPr="00752C15">
        <w:rPr>
          <w:rFonts w:ascii="Times New Roman" w:hAnsi="Times New Roman" w:cs="Times New Roman"/>
          <w:lang w:val="en-IN"/>
        </w:rPr>
        <w:fldChar w:fldCharType="end"/>
      </w:r>
    </w:p>
  </w:footnote>
  <w:footnote w:id="100">
    <w:p w14:paraId="2707F17F" w14:textId="7ACE82B0" w:rsidR="00B4116B" w:rsidRPr="00752C15" w:rsidRDefault="00B4116B" w:rsidP="00752C15">
      <w:pPr>
        <w:pStyle w:val="FootnoteText"/>
        <w:jc w:val="both"/>
        <w:rPr>
          <w:rFonts w:ascii="Times New Roman" w:hAnsi="Times New Roman" w:cs="Times New Roman"/>
          <w:lang w:val="en-IN"/>
        </w:rPr>
      </w:pPr>
      <w:r w:rsidRPr="00DC52BD">
        <w:rPr>
          <w:rStyle w:val="FootnoteReference"/>
        </w:rPr>
        <w:footnoteRef/>
      </w:r>
      <w:r w:rsidR="006C7FFB" w:rsidRPr="00752C15">
        <w:rPr>
          <w:rFonts w:ascii="Times New Roman" w:hAnsi="Times New Roman" w:cs="Times New Roman"/>
        </w:rPr>
        <w:t xml:space="preserve"> E</w:t>
      </w:r>
      <w:r w:rsidRPr="00752C15">
        <w:rPr>
          <w:rFonts w:ascii="Times New Roman" w:hAnsi="Times New Roman" w:cs="Times New Roman"/>
          <w:lang w:val="sk-SK"/>
        </w:rPr>
        <w:t xml:space="preserve">mergency becomes more </w:t>
      </w:r>
      <w:r w:rsidRPr="00752C15">
        <w:rPr>
          <w:rFonts w:ascii="Times New Roman" w:hAnsi="Times New Roman" w:cs="Times New Roman"/>
          <w:lang w:val="en-IN"/>
        </w:rPr>
        <w:t xml:space="preserve">‘a state of mind’, it can affect thinking in different directions, not just towards acceptance or endorsement of more restrictions on individual freedoms. </w:t>
      </w:r>
      <w:r w:rsidRPr="00752C15">
        <w:rPr>
          <w:rFonts w:ascii="Times New Roman" w:hAnsi="Times New Roman" w:cs="Times New Roman"/>
          <w:lang w:val="en-IN"/>
        </w:rPr>
        <w:fldChar w:fldCharType="begin"/>
      </w:r>
      <w:r w:rsidR="003F255E" w:rsidRPr="00752C15">
        <w:rPr>
          <w:rFonts w:ascii="Times New Roman" w:hAnsi="Times New Roman" w:cs="Times New Roman"/>
          <w:lang w:val="en-IN"/>
        </w:rPr>
        <w:instrText xml:space="preserve"> ADDIN ZOTERO_ITEM CSL_CITATION {"citationID":"3pDxjWnG","properties":{"formattedCitation":"Henri Vogt, \\uc0\\u8216{}Covid-19 and Freedom\\uc0\\u8217{} (2021) 60 Social Science Information 548, 552.","plainCitation":"Henri Vogt, ‘Covid-19 and Freedom’ (2021) 60 Social Science Information 548, 552.","noteIndex":91},"citationItems":[{"id":4606,"uris":["http://zotero.org/users/2073125/items/FRATWEE8"],"itemData":{"id":4606,"type":"article-journal","abstract":"This article examines the multifaceted nature of freedom in relation to the world’s efforts to cope with the Covid-19 pandemic. The aim is to show that in democratic societies, increasing societal regulation to stop the spread of the virus does not necessarily curtail all possible conceptions of freedom. On the contrary, we can even construct new institutional realms or community-strengthening mechanisms through which some forms of freedom can materialise in an unforeseen manner. The heuristic model that informs the analysis is composed of six different embodiments of freedom.","container-title":"Social Science Information","DOI":"10.1177/05390184211050850","ISSN":"0539-0184","issue":"4","journalAbbreviation":"Social Science Information","language":"en","note":"publisher: SAGE Publications Ltd","page":"548-559","source":"SAGE Journals","title":"Covid-19 and freedom","volume":"60","author":[{"family":"Vogt","given":"Henri"}],"issued":{"date-parts":[["2021",12,1]]}},"locator":"552"}],"schema":"https://github.com/citation-style-language/schema/raw/master/csl-citation.json"} </w:instrText>
      </w:r>
      <w:r w:rsidRPr="00752C15">
        <w:rPr>
          <w:rFonts w:ascii="Times New Roman" w:hAnsi="Times New Roman" w:cs="Times New Roman"/>
          <w:lang w:val="en-IN"/>
        </w:rPr>
        <w:fldChar w:fldCharType="separate"/>
      </w:r>
      <w:r w:rsidR="00BF3BC4" w:rsidRPr="00752C15">
        <w:rPr>
          <w:rFonts w:ascii="Times New Roman" w:hAnsi="Times New Roman" w:cs="Times New Roman"/>
        </w:rPr>
        <w:t>Henri Vogt, ‘Covid-19 and Freedom’ (2021) 60 Social Science Information 548, 552.</w:t>
      </w:r>
      <w:r w:rsidRPr="00752C15">
        <w:rPr>
          <w:rFonts w:ascii="Times New Roman" w:hAnsi="Times New Roman" w:cs="Times New Roman"/>
          <w:lang w:val="en-IN"/>
        </w:rPr>
        <w:fldChar w:fldCharType="end"/>
      </w:r>
      <w:r w:rsidR="000B1E87" w:rsidRPr="00752C15">
        <w:rPr>
          <w:rFonts w:ascii="Times New Roman" w:hAnsi="Times New Roman" w:cs="Times New Roman"/>
          <w:lang w:val="en-IN"/>
        </w:rPr>
        <w:t xml:space="preserve"> </w:t>
      </w:r>
      <w:r w:rsidR="000B1E87" w:rsidRPr="00752C15">
        <w:rPr>
          <w:rFonts w:ascii="Times New Roman" w:hAnsi="Times New Roman" w:cs="Times New Roman"/>
          <w:lang w:val="en-IN"/>
        </w:rPr>
        <w:fldChar w:fldCharType="begin"/>
      </w:r>
      <w:r w:rsidR="00A13CFE" w:rsidRPr="00752C15">
        <w:rPr>
          <w:rFonts w:ascii="Times New Roman" w:hAnsi="Times New Roman" w:cs="Times New Roman"/>
          <w:lang w:val="en-IN"/>
        </w:rPr>
        <w:instrText xml:space="preserve"> ADDIN ZOTERO_ITEM CSL_CITATION {"citationID":"3RsXEWe3","properties":{"formattedCitation":"See also Bj\\uc0\\u248{}rnskov and Voigt (n 14) 15.","plainCitation":"See also Bjørnskov and Voigt (n 14) 15.","noteIndex":92},"citationItems":[{"id":4305,"uris":["http://zotero.org/users/2073125/items/8PQYQ5NV"],"itemData":{"id":4305,"type":"article-journal","abstract":"The COVID-19 pandemic has not only caused millions to die and even more to lose their jobs, it has also prompted more governments to simultaneously declare a state of emergency than ever before enabling us to compare their decisions more directly. States of emergency usually imply the extension of executive powers that diminishes the powers of other branches of government, as well as to the civil liberties of individuals. Here, we analyze the use of emergency provisions during the first wave of the COVID-19 pandemic and find that it can be largely explained by drawing on political economy. It does, hence, not constitute an exception. We show that many governments have (mis-)used the pandemic as a pretext to curtail media freedom. We further show that executive decrees are considered as a substitute for states of emergency by many governments.","container-title":"European Journal of Law and Economics","DOI":"10.1007/s10657-021-09706-5","ISSN":"1572-9990","issue":"1","journalAbbreviation":"Eur J Law Econ","language":"en","page":"63–81","source":"Springer Link","title":"This time is different? On the use of emergency measures during the corona pandemic","title-short":"This time is different?","volume":"54","author":[{"family":"Bjørnskov","given":"Christian"},{"family":"Voigt","given":"Stefan"}],"issued":{"date-parts":[["2022"]]}},"locator":"15","prefix":"See also"}],"schema":"https://github.com/citation-style-language/schema/raw/master/csl-citation.json"} </w:instrText>
      </w:r>
      <w:r w:rsidR="000B1E87" w:rsidRPr="00752C15">
        <w:rPr>
          <w:rFonts w:ascii="Times New Roman" w:hAnsi="Times New Roman" w:cs="Times New Roman"/>
          <w:lang w:val="en-IN"/>
        </w:rPr>
        <w:fldChar w:fldCharType="separate"/>
      </w:r>
      <w:r w:rsidR="003F255E" w:rsidRPr="00752C15">
        <w:rPr>
          <w:rFonts w:ascii="Times New Roman" w:hAnsi="Times New Roman" w:cs="Times New Roman"/>
          <w:szCs w:val="24"/>
        </w:rPr>
        <w:t>See also Bjørnskov and Voigt (n 14) 15.</w:t>
      </w:r>
      <w:r w:rsidR="000B1E87" w:rsidRPr="00752C15">
        <w:rPr>
          <w:rFonts w:ascii="Times New Roman" w:hAnsi="Times New Roman" w:cs="Times New Roman"/>
          <w:lang w:val="en-IN"/>
        </w:rPr>
        <w:fldChar w:fldCharType="end"/>
      </w:r>
      <w:r w:rsidR="000B1E87" w:rsidRPr="00752C15">
        <w:rPr>
          <w:rFonts w:ascii="Times New Roman" w:hAnsi="Times New Roman" w:cs="Times New Roman"/>
          <w:lang w:val="en-IN"/>
        </w:rPr>
        <w:t xml:space="preserve"> ‘[U]</w:t>
      </w:r>
      <w:proofErr w:type="spellStart"/>
      <w:r w:rsidR="000B1E87" w:rsidRPr="00752C15">
        <w:rPr>
          <w:rFonts w:ascii="Times New Roman" w:hAnsi="Times New Roman" w:cs="Times New Roman"/>
          <w:lang w:val="en-IN"/>
        </w:rPr>
        <w:t>nderreach</w:t>
      </w:r>
      <w:proofErr w:type="spellEnd"/>
      <w:r w:rsidR="000B1E87" w:rsidRPr="00752C15">
        <w:rPr>
          <w:rFonts w:ascii="Times New Roman" w:hAnsi="Times New Roman" w:cs="Times New Roman"/>
          <w:lang w:val="en-IN"/>
        </w:rPr>
        <w:t xml:space="preserve"> is not necessarily equivalent with the decision not to declare a state of emergency.’</w:t>
      </w:r>
    </w:p>
  </w:footnote>
  <w:footnote w:id="101">
    <w:p w14:paraId="218C0581" w14:textId="29DB854F" w:rsidR="00515453" w:rsidRPr="00A14EB2" w:rsidRDefault="00515453" w:rsidP="00752C15">
      <w:pPr>
        <w:pStyle w:val="FootnoteText"/>
        <w:jc w:val="both"/>
        <w:rPr>
          <w:rFonts w:ascii="Times New Roman" w:hAnsi="Times New Roman" w:cs="Times New Roman"/>
          <w:lang w:val="de-DE"/>
        </w:rPr>
      </w:pPr>
      <w:r w:rsidRPr="00DC52BD">
        <w:rPr>
          <w:rStyle w:val="FootnoteReference"/>
        </w:rPr>
        <w:footnoteRef/>
      </w:r>
      <w:r w:rsidRPr="00A14EB2">
        <w:rPr>
          <w:rFonts w:ascii="Times New Roman" w:hAnsi="Times New Roman" w:cs="Times New Roman"/>
          <w:lang w:val="de-DE"/>
        </w:rPr>
        <w:t xml:space="preserve"> </w:t>
      </w:r>
      <w:r w:rsidRPr="00752C15">
        <w:rPr>
          <w:rFonts w:ascii="Times New Roman" w:hAnsi="Times New Roman" w:cs="Times New Roman"/>
        </w:rPr>
        <w:fldChar w:fldCharType="begin"/>
      </w:r>
      <w:r w:rsidR="003F255E" w:rsidRPr="00A14EB2">
        <w:rPr>
          <w:rFonts w:ascii="Times New Roman" w:hAnsi="Times New Roman" w:cs="Times New Roman"/>
          <w:lang w:val="de-DE"/>
        </w:rPr>
        <w:instrText xml:space="preserve"> ADDIN ZOTERO_ITEM CSL_CITATION {"citationID":"6Xae9clx","properties":{"formattedCitation":"Pozen and Scheppele (n 19) 616\\uc0\\u8211{}617.","plainCitation":"Pozen and Scheppele (n 19) 616–617.","noteIndex":92},"citationItems":[{"id":102,"uris":["http://zotero.org/users/2073125/items/5PYLQAV8"],"itemData":{"id":102,"type":"article-journal","abstract":"Legal scholars are familiar with the problem of executive overreach, especially in emergencies. But sometimes, instead of being too audacious or extreme, a national executive's attempts to address a true threat prove far too limited and insubstantial. In this Essay, we seek to define and clarify the phenomenon of executive underreach, with special reference to the COVID-19 crisis; to outline ways in which such underreach may compromise constitutional governance and the international legal order; and to suggest a partial remedy.","container-title":"American Journal of International Law","DOI":"10.1017/ajil.2020.59","ISSN":"0002-9300, 2161-7953","issue":"4","language":"en","note":"publisher: Cambridge University Press","page":"608-617","source":"Cambridge University Press","title":"Executive Underreach, in Pandemics and Otherwise","volume":"114","author":[{"family":"Pozen","given":"David E."},{"family":"Scheppele","given":"Kim Lane"}],"issued":{"date-parts":[["2020",10]]}},"locator":"616-617"}],"schema":"https://github.com/citation-style-language/schema/raw/master/csl-citation.json"} </w:instrText>
      </w:r>
      <w:r w:rsidRPr="00752C15">
        <w:rPr>
          <w:rFonts w:ascii="Times New Roman" w:hAnsi="Times New Roman" w:cs="Times New Roman"/>
        </w:rPr>
        <w:fldChar w:fldCharType="separate"/>
      </w:r>
      <w:r w:rsidR="003F255E" w:rsidRPr="00A14EB2">
        <w:rPr>
          <w:rFonts w:ascii="Times New Roman" w:hAnsi="Times New Roman" w:cs="Times New Roman"/>
          <w:szCs w:val="24"/>
          <w:lang w:val="de-DE"/>
        </w:rPr>
        <w:t>Pozen and Scheppele (n 19) 616–617.</w:t>
      </w:r>
      <w:r w:rsidRPr="00752C15">
        <w:rPr>
          <w:rFonts w:ascii="Times New Roman" w:hAnsi="Times New Roman" w:cs="Times New Roman"/>
        </w:rPr>
        <w:fldChar w:fldCharType="end"/>
      </w:r>
    </w:p>
  </w:footnote>
  <w:footnote w:id="102">
    <w:p w14:paraId="78A40326" w14:textId="5FF485ED" w:rsidR="0015584D" w:rsidRPr="00A14EB2" w:rsidRDefault="0015584D" w:rsidP="00752C15">
      <w:pPr>
        <w:pStyle w:val="FootnoteText"/>
        <w:jc w:val="both"/>
        <w:rPr>
          <w:rFonts w:ascii="Times New Roman" w:hAnsi="Times New Roman" w:cs="Times New Roman"/>
          <w:lang w:val="de-DE"/>
        </w:rPr>
      </w:pPr>
      <w:r w:rsidRPr="00DC52BD">
        <w:rPr>
          <w:rStyle w:val="FootnoteReference"/>
        </w:rPr>
        <w:footnoteRef/>
      </w:r>
      <w:r w:rsidRPr="00A14EB2">
        <w:rPr>
          <w:rFonts w:ascii="Times New Roman" w:hAnsi="Times New Roman" w:cs="Times New Roman"/>
          <w:lang w:val="de-DE"/>
        </w:rPr>
        <w:t xml:space="preserve"> </w:t>
      </w:r>
      <w:r w:rsidRPr="00752C15">
        <w:rPr>
          <w:rFonts w:ascii="Times New Roman" w:hAnsi="Times New Roman" w:cs="Times New Roman"/>
        </w:rPr>
        <w:fldChar w:fldCharType="begin"/>
      </w:r>
      <w:r w:rsidR="003F255E" w:rsidRPr="00A14EB2">
        <w:rPr>
          <w:rFonts w:ascii="Times New Roman" w:hAnsi="Times New Roman" w:cs="Times New Roman"/>
          <w:lang w:val="de-DE"/>
        </w:rPr>
        <w:instrText xml:space="preserve"> ADDIN ZOTERO_ITEM CSL_CITATION {"citationID":"Tj03gtAx","properties":{"formattedCitation":"Atiles and Whyte (n 26).","plainCitation":"Atiles and Whyte (n 26).","noteIndex":93},"citationItems":[{"id":10765,"uris":["http://zotero.org/users/2073125/items/3IHL7ECX"],"itemData":{"id":10765,"type":"article-journal","abstract":"Governmental responses to the COVID-19 global pandemic have generated numerous constitutionals, policy, legal, and political-economic debates. Scholarly engagements with the sociolegal and policy consequences of the COVID-19 pandemic have been dominated by discussion on the role of emergency powers, the suspension of individual civil liberties, the suspension of economic rules in order to guarantee economic survival, and social regulation of public spaces and of workplaces. This paper aims to explore how a critical sociolegal scholarship can contribute to a more sophisticated understanding of the role of law in creating the unequal conditions that propitiated the COVID-19 pandemic and that might enable further crises. This introduction offers a roadmap for theorizing the limits of law, the operationalization of emergency powers and the different policies implemented by global south and north countries in response to the pandemic. This introduction is structured as follow: (1) provides a general overview of the law and society tradition and its engagement with the COVID-19 pandemic; (2) engages with three key consequences of the pandemic, labor, and the lockdown; colonial implications; and the limits of law; (3) introduces the papers in this special issue; (4) sketches a proposal for the critical sociolegal scholarship of law and crises.","container-title":"Law &amp; Policy","DOI":"10.1111/lapo.12214","ISSN":"1467-9930","issue":"3","language":"en","note":"_eprint: https://onlinelibrary.wiley.com/doi/pdf/10.1111/lapo.12214","page":"238-252","source":"Wiley Online Library","title":"Reproducing crises: Understanding the role of law in the COVID-19 global pandemic","title-short":"Reproducing crises","volume":"45","author":[{"family":"Atiles","given":"Jose"},{"family":"Whyte","given":"David"}],"issued":{"date-parts":[["2023"]]}}}],"schema":"https://github.com/citation-style-language/schema/raw/master/csl-citation.json"} </w:instrText>
      </w:r>
      <w:r w:rsidRPr="00752C15">
        <w:rPr>
          <w:rFonts w:ascii="Times New Roman" w:hAnsi="Times New Roman" w:cs="Times New Roman"/>
        </w:rPr>
        <w:fldChar w:fldCharType="separate"/>
      </w:r>
      <w:r w:rsidR="003F255E" w:rsidRPr="00A14EB2">
        <w:rPr>
          <w:rFonts w:ascii="Times New Roman" w:hAnsi="Times New Roman" w:cs="Times New Roman"/>
          <w:lang w:val="de-DE"/>
        </w:rPr>
        <w:t>Atiles and Whyte (n 26).</w:t>
      </w:r>
      <w:r w:rsidRPr="00752C15">
        <w:rPr>
          <w:rFonts w:ascii="Times New Roman" w:hAnsi="Times New Roman" w:cs="Times New Roman"/>
        </w:rPr>
        <w:fldChar w:fldCharType="end"/>
      </w:r>
    </w:p>
  </w:footnote>
  <w:footnote w:id="103">
    <w:p w14:paraId="10D5C3FC" w14:textId="27E0E9E4" w:rsidR="00991324" w:rsidRPr="00752C15" w:rsidRDefault="00991324" w:rsidP="00752C15">
      <w:pPr>
        <w:pStyle w:val="FootnoteText"/>
        <w:jc w:val="both"/>
        <w:rPr>
          <w:rFonts w:ascii="Times New Roman" w:hAnsi="Times New Roman" w:cs="Times New Roman"/>
          <w:lang w:val="en-IN"/>
        </w:rPr>
      </w:pPr>
      <w:r w:rsidRPr="00DC52BD">
        <w:rPr>
          <w:rStyle w:val="FootnoteReference"/>
        </w:rPr>
        <w:footnoteRef/>
      </w:r>
      <w:r w:rsidRPr="00752C15">
        <w:rPr>
          <w:rFonts w:ascii="Times New Roman" w:hAnsi="Times New Roman" w:cs="Times New Roman"/>
        </w:rPr>
        <w:t xml:space="preserve"> </w:t>
      </w:r>
      <w:r w:rsidRPr="00752C15">
        <w:rPr>
          <w:rFonts w:ascii="Times New Roman" w:hAnsi="Times New Roman" w:cs="Times New Roman"/>
          <w:lang w:val="en-IN"/>
        </w:rPr>
        <w:t>The latter has a potential equivalent in existing scholarly discourse: judicial activism and judicial deference</w:t>
      </w:r>
      <w:r w:rsidR="00E7787D" w:rsidRPr="00752C15">
        <w:rPr>
          <w:rFonts w:ascii="Times New Roman" w:hAnsi="Times New Roman" w:cs="Times New Roman"/>
          <w:lang w:val="en-IN"/>
        </w:rPr>
        <w:t xml:space="preserve">. The affinities and differences between these conceptual categories need further study. </w:t>
      </w:r>
    </w:p>
  </w:footnote>
  <w:footnote w:id="104">
    <w:p w14:paraId="2D34E77C" w14:textId="5E11E994" w:rsidR="00294ED9" w:rsidRPr="00752C15" w:rsidRDefault="00294ED9" w:rsidP="00752C15">
      <w:pPr>
        <w:pStyle w:val="FootnoteText"/>
        <w:jc w:val="both"/>
        <w:rPr>
          <w:rFonts w:ascii="Times New Roman" w:hAnsi="Times New Roman" w:cs="Times New Roman"/>
          <w:lang w:val="en-US"/>
        </w:rPr>
      </w:pPr>
      <w:r w:rsidRPr="00DC52BD">
        <w:rPr>
          <w:rStyle w:val="FootnoteReference"/>
        </w:rPr>
        <w:footnoteRef/>
      </w:r>
      <w:r w:rsidRPr="00752C15">
        <w:rPr>
          <w:rFonts w:ascii="Times New Roman" w:hAnsi="Times New Roman" w:cs="Times New Roman"/>
        </w:rPr>
        <w:t xml:space="preserve"> </w:t>
      </w:r>
      <w:r w:rsidRPr="00752C15">
        <w:rPr>
          <w:rFonts w:ascii="Times New Roman" w:hAnsi="Times New Roman" w:cs="Times New Roman"/>
        </w:rPr>
        <w:fldChar w:fldCharType="begin"/>
      </w:r>
      <w:r w:rsidRPr="00752C15">
        <w:rPr>
          <w:rFonts w:ascii="Times New Roman" w:hAnsi="Times New Roman" w:cs="Times New Roman"/>
        </w:rPr>
        <w:instrText xml:space="preserve"> ADDIN ZOTERO_ITEM CSL_CITATION {"citationID":"fNbzGkh5","properties":{"formattedCitation":"Kai M\\uc0\\u246{}ller, \\uc0\\u8216{}Justifying the Culture of Justification\\uc0\\u8217{} (2019) 17 International Journal of Constitutional Law 1078.","plainCitation":"Kai Möller, ‘Justifying the Culture of Justification’ (2019) 17 International Journal of Constitutional Law 1078.","noteIndex":95},"citationItems":[{"id":2777,"uris":["http://zotero.org/users/2073125/items/EVISK9Q7"],"itemData":{"id":2777,"type":"article-journal","abstract":"Abstract.  The ideas of the culture of justification—according to which it is the role of the courts to ensure that every act of the state that affects a person","container-title":"International Journal of Constitutional Law","DOI":"10.1093/icon/moz086","ISSN":"1474-2640","issue":"4","journalAbbreviation":"Int J Const Law","language":"en","page":"1078-1097","source":"academic.oup.com","title":"Justifying the culture of justification","volume":"17","author":[{"family":"Möller","given":"Kai"}],"issued":{"date-parts":[["2019",12,31]]}}}],"schema":"https://github.com/citation-style-language/schema/raw/master/csl-citation.json"} </w:instrText>
      </w:r>
      <w:r w:rsidRPr="00752C15">
        <w:rPr>
          <w:rFonts w:ascii="Times New Roman" w:hAnsi="Times New Roman" w:cs="Times New Roman"/>
        </w:rPr>
        <w:fldChar w:fldCharType="separate"/>
      </w:r>
      <w:r w:rsidRPr="00752C15">
        <w:rPr>
          <w:rFonts w:ascii="Times New Roman" w:hAnsi="Times New Roman" w:cs="Times New Roman"/>
        </w:rPr>
        <w:t>Kai Möller, ‘Justifying the Culture of Justification’ (2019) 17 International Journal of Constitutional Law 1078.</w:t>
      </w:r>
      <w:r w:rsidRPr="00752C15">
        <w:rPr>
          <w:rFonts w:ascii="Times New Roman" w:hAnsi="Times New Roman" w:cs="Times New Roman"/>
        </w:rPr>
        <w:fldChar w:fldCharType="end"/>
      </w:r>
    </w:p>
  </w:footnote>
  <w:footnote w:id="105">
    <w:p w14:paraId="4D692617" w14:textId="33C9FB1E" w:rsidR="008A6C48" w:rsidRPr="00752C15" w:rsidRDefault="008A6C48" w:rsidP="00752C15">
      <w:pPr>
        <w:pStyle w:val="FootnoteText"/>
        <w:jc w:val="both"/>
        <w:rPr>
          <w:rFonts w:ascii="Times New Roman" w:hAnsi="Times New Roman" w:cs="Times New Roman"/>
          <w:lang w:val="sk-SK"/>
        </w:rPr>
      </w:pPr>
      <w:r w:rsidRPr="00DC52BD">
        <w:rPr>
          <w:rStyle w:val="FootnoteReference"/>
        </w:rPr>
        <w:footnoteRef/>
      </w:r>
      <w:r w:rsidRPr="00752C15">
        <w:rPr>
          <w:rFonts w:ascii="Times New Roman" w:hAnsi="Times New Roman" w:cs="Times New Roman"/>
        </w:rPr>
        <w:t xml:space="preserve"> </w:t>
      </w:r>
      <w:r w:rsidRPr="00752C15">
        <w:rPr>
          <w:rFonts w:ascii="Times New Roman" w:hAnsi="Times New Roman" w:cs="Times New Roman"/>
        </w:rPr>
        <w:fldChar w:fldCharType="begin"/>
      </w:r>
      <w:r w:rsidR="003F255E" w:rsidRPr="00752C15">
        <w:rPr>
          <w:rFonts w:ascii="Times New Roman" w:hAnsi="Times New Roman" w:cs="Times New Roman"/>
        </w:rPr>
        <w:instrText xml:space="preserve"> ADDIN ZOTERO_ITEM CSL_CITATION {"citationID":"jksKNNmf","properties":{"formattedCitation":"E.g. Fabrizio Cafaggi and Paola Iamicelli, \\uc0\\u8216{}Global Pandemic and the Role of Courts\\uc0\\u8217{} (2022) 1 Legal Policy &amp; Pandemics: The Journal of the Global Pandemic Network 159; Emilio Peluso Neder Meyer, Ulisses Levy Silv\\uc0\\u233{}rio dos Reis and Bruno Braga de Castro, \\uc0\\u8216{}Courts and COVID-19: An Assessment of Countries Dealing with Democratic Erosion\\uc0\\u8217{} (2023) 5 Jus Cogens 85.","plainCitation":"E.g. Fabrizio Cafaggi and Paola Iamicelli, ‘Global Pandemic and the Role of Courts’ (2022) 1 Legal Policy &amp; Pandemics: The Journal of the Global Pandemic Network 159; Emilio Peluso Neder Meyer, Ulisses Levy Silvério dos Reis and Bruno Braga de Castro, ‘Courts and COVID-19: An Assessment of Countries Dealing with Democratic Erosion’ (2023) 5 Jus Cogens 85.","noteIndex":96},"citationItems":[{"id":10761,"uris":["http://zotero.org/users/2073125/items/TD4DJCLG"],"itemData":{"id":10761,"type":"article-journal","container-title":"Legal Policy &amp; Pandemics: The Journal of the Global Pandemic Network","DOI":"10.53136/979125994435114","issue":"1-3","language":"en","page":"159-180","title":"Global Pandemic and the Role of Courts","volume":"1","author":[{"family":"Cafaggi","given":"Fabrizio"},{"family":"Iamicelli","given":"Paola"}],"issued":{"date-parts":[["2022"]]}},"label":"page","prefix":"E.g."},{"id":10875,"uris":["http://zotero.org/users/2073125/items/NN6W6RUI"],"itemData":{"id":10875,"type":"article-journal","abstract":"This article aims to present four case studies of the different responses to governmental measures to fight the COVID-19 pandemic by supreme and constitutional courts, especially in cases of jurisdictions that have been facing democratic erosion. The spread of the COVID-19 pandemic demanded immediate public policies and other political decisions from the branches of government. Executive authorities were the main actors in effecting constitutional public health norms. The expectation was that they will abide by the rule of law in fulfilling their duties; that has not been the case under governments that promoted democratic erosion. The different contexts of the threats posed to the constitutional democracies led populist and illiberal leaders to opportunistically either try to—and then be contained by courts—or effectively consolidate the expansion of powers under the conditions of the pandemic. Concentrating on four jurisdictions (the USA, Hungary, El Salvador, and Brazil), the article demonstrates that courts can effectively work as bulwarks against waves of democratic erosion, especially in situations of stress, as it was the case in the global COVID-19 pandemic. This hypothesis is also proven by episodes in which courts did not sufficiently operate to curb illiberalism because they were already captured. The analyses enable classifying the court’s responses to the COVID-19 executive measures in a threefold pattern: deferential, restrictive, and of forced capitulation.","container-title":"Jus Cogens","DOI":"10.1007/s42439-023-00072-1","ISSN":"2524-3985","issue":"1","journalAbbreviation":"Jus Cogens","language":"en","page":"85-110","source":"Springer Link","title":"Courts and COVID-19: an Assessment of Countries Dealing with Democratic Erosion","title-short":"Courts and COVID-19","volume":"5","author":[{"family":"Meyer","given":"Emilio Peluso Neder"},{"family":"Reis","given":"Ulisses Levy Silvério","non-dropping-particle":"dos"},{"family":"Castro","given":"Bruno Braga","non-dropping-particle":"de"}],"issued":{"date-parts":[["2023",4,1]]}}}],"schema":"https://github.com/citation-style-language/schema/raw/master/csl-citation.json"} </w:instrText>
      </w:r>
      <w:r w:rsidRPr="00752C15">
        <w:rPr>
          <w:rFonts w:ascii="Times New Roman" w:hAnsi="Times New Roman" w:cs="Times New Roman"/>
        </w:rPr>
        <w:fldChar w:fldCharType="separate"/>
      </w:r>
      <w:r w:rsidR="00CC47A2" w:rsidRPr="00752C15">
        <w:rPr>
          <w:rFonts w:ascii="Times New Roman" w:hAnsi="Times New Roman" w:cs="Times New Roman"/>
        </w:rPr>
        <w:t>E.g. Fabrizio Cafaggi and Paola Iamicelli, ‘Global Pandemic and the Role of Courts’ (2022) 1 Legal Policy &amp; Pandemics: The Journal of the Global Pandemic Network 159; Emilio Peluso Neder Meyer, Ulisses Levy Silvério dos Reis and Bruno Braga de Castro, ‘Courts and COVID-19: An Assessment of Countries Dealing with Democratic Erosion’ (2023) 5 Jus Cogens 85.</w:t>
      </w:r>
      <w:r w:rsidRPr="00752C15">
        <w:rPr>
          <w:rFonts w:ascii="Times New Roman" w:hAnsi="Times New Roman" w:cs="Times New Roman"/>
        </w:rPr>
        <w:fldChar w:fldCharType="end"/>
      </w:r>
    </w:p>
  </w:footnote>
  <w:footnote w:id="106">
    <w:p w14:paraId="1AB2697D" w14:textId="113D549D" w:rsidR="0065679A" w:rsidRPr="00752C15" w:rsidRDefault="0065679A" w:rsidP="00752C15">
      <w:pPr>
        <w:pStyle w:val="FootnoteText"/>
        <w:jc w:val="both"/>
        <w:rPr>
          <w:rFonts w:ascii="Times New Roman" w:hAnsi="Times New Roman" w:cs="Times New Roman"/>
          <w:lang w:val="sk-SK"/>
        </w:rPr>
      </w:pPr>
      <w:r w:rsidRPr="00DC52BD">
        <w:rPr>
          <w:rStyle w:val="FootnoteReference"/>
        </w:rPr>
        <w:footnoteRef/>
      </w:r>
      <w:r w:rsidRPr="00752C15">
        <w:rPr>
          <w:rFonts w:ascii="Times New Roman" w:hAnsi="Times New Roman" w:cs="Times New Roman"/>
        </w:rPr>
        <w:t xml:space="preserve"> </w:t>
      </w:r>
      <w:r w:rsidRPr="00752C15">
        <w:rPr>
          <w:rFonts w:ascii="Times New Roman" w:hAnsi="Times New Roman" w:cs="Times New Roman"/>
        </w:rPr>
        <w:fldChar w:fldCharType="begin"/>
      </w:r>
      <w:r w:rsidR="003F255E" w:rsidRPr="00752C15">
        <w:rPr>
          <w:rFonts w:ascii="Times New Roman" w:hAnsi="Times New Roman" w:cs="Times New Roman"/>
        </w:rPr>
        <w:instrText xml:space="preserve"> ADDIN ZOTERO_ITEM CSL_CITATION {"citationID":"QZsBOCHk","properties":{"formattedCitation":"Christopher Ansell, Eva S\\uc0\\u248{}rensen and Jacob Torfing, \\uc0\\u8216{}The COVID-19 Pandemic as a Game Changer for Public Administration and Leadership? The Need for Robust Governance Responses to Turbulent Problems\\uc0\\u8217{} (2021) 23 Public Management Review 949; Susan Bergner, \\uc0\\u8216{}The Role of the European Union in Global Health: The EU\\uc0\\u8217{}s Self-Perception(s) within the COVID-19 Pandemic\\uc0\\u8217{} (2023) 127 Health Policy 5; John Boswell and others, \\uc0\\u8216{}The Comparative \\uc0\\u8220{}Court Politics\\uc0\\u8221{} of Covid-19: Explaining Government Responses to the Pandemic\\uc0\\u8217{} (2021) 28 Journal of European Public Policy 1258.","plainCitation":"Christopher Ansell, Eva Sørensen and Jacob Torfing, ‘The COVID-19 Pandemic as a Game Changer for Public Administration and Leadership? The Need for Robust Governance Responses to Turbulent Problems’ (2021) 23 Public Management Review 949; Susan Bergner, ‘The Role of the European Union in Global Health: The EU’s Self-Perception(s) within the COVID-19 Pandemic’ (2023) 127 Health Policy 5; John Boswell and others, ‘The Comparative “Court Politics” of Covid-19: Explaining Government Responses to the Pandemic’ (2021) 28 Journal of European Public Policy 1258.","noteIndex":97},"citationItems":[{"id":11800,"uris":["http://zotero.org/users/2073125/items/PQPXD8EB"],"itemData":{"id":11800,"type":"article-journal","abstract":"The COVID-19 pandemic reveals that the public sector is not only facing simple and complex problem, but also turbulent problems characterized by the surprising emergence of inconsistent, unpredictable, and uncertain events. Turbulent problems call for robust governance solutions that are sufficiently adaptable, agile and pragmatic to upheld a particular goal or function in the face of continuous disruptions. The article defines the concepts of turbulence and robustness and provides examples of robust governance strategies that are illustrated by the current COVID-19 response. Finally, it draws the consequences of the new focus on robust governance for public administration and leadership.","container-title":"Public Management Review","DOI":"10.1080/14719037.2020.1820272","ISSN":"1471-9037","issue":"7","note":"publisher: Routledge\n_eprint: https://doi.org/10.1080/14719037.2020.1820272","page":"949-960","source":"Taylor and Francis+NEJM","title":"The COVID-19 pandemic as a game changer for public administration and leadership? The need for robust governance responses to turbulent problems","title-short":"The COVID-19 pandemic as a game changer for public administration and leadership?","volume":"23","author":[{"family":"Ansell","given":"Christopher"},{"family":"Sørensen","given":"Eva"},{"family":"Torfing","given":"Jacob"}],"issued":{"date-parts":[["2021",7,3]]}}},{"id":10822,"uris":["http://zotero.org/users/2073125/items/MR6N6M59"],"itemData":{"id":10822,"type":"article-journal","abstract":"The COVID-19 pandemic is challenging the international system and the regional order in which the European Union (EU) aims to re-define its role in global health. The article seeks to tease out the role of the EU amidst the COVID-19 crisis by outlining three key dimensions: self-perception, external perception and performance. The paper contributes to the broader understanding of the EU's role in global health through a focus on its self-perception. This is examined by the conduct of interviews with EU representatives in 2021 and the analysis of EU press releases with reference to global health from 2014 to mid-March 2021. The results show that the EU mainly draws from a donor and provider role leaving a facilitating, partner or normative role underdeveloped – except for the EU's leading role in the context of the World Health Organisation. The COVID-19 pandemic is a driver for a more ambitious global political role. However, the main challenges identified by EU representatives constitute a lack of capacities and resources, insufficient backing by EU member states and a lack of coordination. The strongest EU conception in global health is seen when policy actions are based on multiple roles ranging from a provider and partner to a facilitating or normative role.","container-title":"Health Policy","DOI":"10.1016/j.healthpol.2021.10.006","ISSN":"0168-8510","journalAbbreviation":"Health Policy","language":"en","page":"5-11","source":"ScienceDirect","title":"The role of the European Union in global health: The EU’s self-perception(s) within the COVID-19 pandemic","title-short":"The role of the European Union in global health","volume":"127","author":[{"family":"Bergner","given":"Susan"}],"issued":{"date-parts":[["2023",1,1]]}},"label":"page"},{"id":88,"uris":["http://zotero.org/users/2073125/items/CNJ3Y6ID"],"itemData":{"id":88,"type":"article-journal","abstract":"What has shaped the different responses to COVID-19? The orthodoxy in the crisis management literature holds that the response to events like COVID-19 is primarily shaped by a decentralized group of actors on the ground. In this paper, we argue that a top-down explanation, focused on the actions and intentions of the core executive, is an essential complement to this bottom-up emphasis on a distributed network. Specifically, we advance a ‘court politics’ understanding of how governing elites have taken advice and made decisions, and sketch out the impact this has had in framing and constraining crisis response efforts. The argument uses an interpretive framework centred on the dilemmas that governing elites face in managing crisis. We illustrate the underlying ‘court politics’ which has driven responses to COVID-19 in England and Denmark. We show that pathologies and dysfunctions in Johnson’s court have filtered through into inertia and indecisiveness, while the centralization of authority in Frederiksen’s court has enabled swift and decisive intervention. Our analysis shows that a top-down emphasis on executive government – and the ‘court politics’ therein – offers a fruitful agenda for understanding and comparing COVID-19 crisis response.","container-title":"Journal of European Public Policy","DOI":"10.1080/13501763.2021.1942159","ISSN":"1350-1763","issue":"8","note":"publisher: Routledge\n_eprint: https://doi.org/10.1080/13501763.2021.1942159","page":"1258-1277","source":"Taylor and Francis+NEJM","title":"The comparative ‘court politics’ of Covid-19: explaining government responses to the pandemic","title-short":"The comparative ‘court politics’ of Covid-19","volume":"28","author":[{"family":"Boswell","given":"John"},{"family":"Corbett","given":"Jack"},{"family":"Rhodes","given":"R. A. W."},{"family":"Salomonsen","given":"Heidi Houlberg"}],"issued":{"date-parts":[["2021",8,3]]}}}],"schema":"https://github.com/citation-style-language/schema/raw/master/csl-citation.json"} </w:instrText>
      </w:r>
      <w:r w:rsidRPr="00752C15">
        <w:rPr>
          <w:rFonts w:ascii="Times New Roman" w:hAnsi="Times New Roman" w:cs="Times New Roman"/>
        </w:rPr>
        <w:fldChar w:fldCharType="separate"/>
      </w:r>
      <w:r w:rsidR="000152A5" w:rsidRPr="00752C15">
        <w:rPr>
          <w:rFonts w:ascii="Times New Roman" w:hAnsi="Times New Roman" w:cs="Times New Roman"/>
        </w:rPr>
        <w:t>Christopher Ansell, Eva Sørensen and Jacob Torfing, ‘The COVID-19 Pandemic as a Game Changer for Public Administration and Leadership? The Need for Robust Governance Responses to Turbulent Problems’ (2021) 23 Public Management Review 949; Susan Bergner, ‘The Role of the European Union in Global Health: The EU’s Self-Perception(s) within the COVID-19 Pandemic’ (2023) 127 Health Policy 5; John Boswell and others, ‘The Comparative “Court Politics” of Covid-19: Explaining Government Responses to the Pandemic’ (2021) 28 Journal of European Public Policy 1258.</w:t>
      </w:r>
      <w:r w:rsidRPr="00752C15">
        <w:rPr>
          <w:rFonts w:ascii="Times New Roman" w:hAnsi="Times New Roman" w:cs="Times New Roman"/>
        </w:rPr>
        <w:fldChar w:fldCharType="end"/>
      </w:r>
    </w:p>
  </w:footnote>
  <w:footnote w:id="107">
    <w:p w14:paraId="77479197" w14:textId="6DFA505E" w:rsidR="007F11E2" w:rsidRPr="00752C15" w:rsidRDefault="007F11E2" w:rsidP="00752C15">
      <w:pPr>
        <w:pStyle w:val="FootnoteText"/>
        <w:jc w:val="both"/>
        <w:rPr>
          <w:rFonts w:ascii="Times New Roman" w:hAnsi="Times New Roman" w:cs="Times New Roman"/>
          <w:lang w:val="en-US"/>
        </w:rPr>
      </w:pPr>
      <w:r w:rsidRPr="00DC52BD">
        <w:rPr>
          <w:rStyle w:val="FootnoteReference"/>
        </w:rPr>
        <w:footnoteRef/>
      </w:r>
      <w:r w:rsidRPr="00752C15">
        <w:rPr>
          <w:rFonts w:ascii="Times New Roman" w:hAnsi="Times New Roman" w:cs="Times New Roman"/>
        </w:rPr>
        <w:t xml:space="preserve"> </w:t>
      </w:r>
      <w:r w:rsidRPr="00752C15">
        <w:rPr>
          <w:rFonts w:ascii="Times New Roman" w:hAnsi="Times New Roman" w:cs="Times New Roman"/>
        </w:rPr>
        <w:fldChar w:fldCharType="begin"/>
      </w:r>
      <w:r w:rsidR="003F255E" w:rsidRPr="00752C15">
        <w:rPr>
          <w:rFonts w:ascii="Times New Roman" w:hAnsi="Times New Roman" w:cs="Times New Roman"/>
        </w:rPr>
        <w:instrText xml:space="preserve"> ADDIN ZOTERO_ITEM CSL_CITATION {"citationID":"ZLn8rT8y","properties":{"formattedCitation":"Lucy Holmes McHugh, Maria Carmen Lemos and Tiffany Hope Morrison, \\uc0\\u8216{}Risk? Crisis? Emergency? Implications of the New Climate Emergency Framing for Governance and Policy\\uc0\\u8217{} (2021) 12 WIREs Climate Change e736.","plainCitation":"Lucy Holmes McHugh, Maria Carmen Lemos and Tiffany Hope Morrison, ‘Risk? Crisis? Emergency? Implications of the New Climate Emergency Framing for Governance and Policy’ (2021) 12 WIREs Climate Change e736.","noteIndex":98},"citationItems":[{"id":10854,"uris":["http://zotero.org/users/2073125/items/MMJA2ACC"],"itemData":{"id":10854,"type":"article-journal","abstract":"The term “climate emergency” represents a new phase in climate change framing that many hope will invigorate more climate action. Yet there has been relatively little discussion of how the new emergency framing might shape broader governance and policy. In this advanced review, we critically review and synthesize existing literature on crisis and emergency to inform our understanding of how this new shift might affect governance and policy. Specifically, we explore the literature on crisis governance and policy to argue that there is no simple answer to whether the “climate emergency” framing will be supportive of climate governance and policy; rather, more work needs to be done to understand how different political actors respond according to their perceptions, interests and values. To assist this endeavor, we develop a typology of four policy pathways, ranging from “no emergency,” to “no emergency, but recognize risk,” “emergency as a threat” and “emergency as an opportunity.” We highlight the need to consider the effects of multiple and overlapping emergency frames, using the example of the intersection of climate change and COVID-19. Finally, we suggest new interdisciplinary research directions for critically analyzing and refining this new phase of climate change framing. This article is categorized under: Policy and Governance &gt; Governing Climate Change in Communities, Cities, and Regions Policy and Governance &gt; Multilevel and Transnational Climate Change Governance","container-title":"WIREs Climate Change","DOI":"10.1002/wcc.736","ISSN":"1757-7799","issue":"6","language":"en","note":"_eprint: https://onlinelibrary.wiley.com/doi/pdf/10.1002/wcc.736","page":"e736","source":"Wiley Online Library","title":"Risk? Crisis? Emergency? Implications of the new climate emergency framing for governance and policy","title-short":"Risk?","volume":"12","author":[{"family":"McHugh","given":"Lucy Holmes"},{"family":"Lemos","given":"Maria Carmen"},{"family":"Morrison","given":"Tiffany Hope"}],"issued":{"date-parts":[["2021"]]}}}],"schema":"https://github.com/citation-style-language/schema/raw/master/csl-citation.json"} </w:instrText>
      </w:r>
      <w:r w:rsidRPr="00752C15">
        <w:rPr>
          <w:rFonts w:ascii="Times New Roman" w:hAnsi="Times New Roman" w:cs="Times New Roman"/>
        </w:rPr>
        <w:fldChar w:fldCharType="separate"/>
      </w:r>
      <w:r w:rsidRPr="00752C15">
        <w:rPr>
          <w:rFonts w:ascii="Times New Roman" w:hAnsi="Times New Roman" w:cs="Times New Roman"/>
        </w:rPr>
        <w:t>Lucy Holmes McHugh, Maria Carmen Lemos and Tiffany Hope Morrison, ‘Risk? Crisis? Emergency? Implications of the New Climate Emergency Framing for Governance and Policy’ (2021) 12 WIREs Climate Change e736.</w:t>
      </w:r>
      <w:r w:rsidRPr="00752C15">
        <w:rPr>
          <w:rFonts w:ascii="Times New Roman" w:hAnsi="Times New Roman" w:cs="Times New Roman"/>
        </w:rPr>
        <w:fldChar w:fldCharType="end"/>
      </w:r>
    </w:p>
  </w:footnote>
  <w:footnote w:id="108">
    <w:p w14:paraId="7853F78C" w14:textId="4DE07E76" w:rsidR="00712E85" w:rsidRPr="00752C15" w:rsidRDefault="00712E85" w:rsidP="00752C15">
      <w:pPr>
        <w:pStyle w:val="FootnoteText"/>
        <w:jc w:val="both"/>
        <w:rPr>
          <w:rFonts w:ascii="Times New Roman" w:hAnsi="Times New Roman" w:cs="Times New Roman"/>
          <w:lang w:val="en-US"/>
        </w:rPr>
      </w:pPr>
      <w:r w:rsidRPr="00DC52BD">
        <w:rPr>
          <w:rStyle w:val="FootnoteReference"/>
        </w:rPr>
        <w:footnoteRef/>
      </w:r>
      <w:r w:rsidRPr="00752C15">
        <w:rPr>
          <w:rFonts w:ascii="Times New Roman" w:hAnsi="Times New Roman" w:cs="Times New Roman"/>
        </w:rPr>
        <w:t xml:space="preserve"> </w:t>
      </w:r>
      <w:r w:rsidRPr="00752C15">
        <w:rPr>
          <w:rFonts w:ascii="Times New Roman" w:hAnsi="Times New Roman" w:cs="Times New Roman"/>
        </w:rPr>
        <w:fldChar w:fldCharType="begin"/>
      </w:r>
      <w:r w:rsidR="003F255E" w:rsidRPr="00752C15">
        <w:rPr>
          <w:rFonts w:ascii="Times New Roman" w:hAnsi="Times New Roman" w:cs="Times New Roman"/>
        </w:rPr>
        <w:instrText xml:space="preserve"> ADDIN ZOTERO_ITEM CSL_CITATION {"citationID":"iV5L8a8C","properties":{"formattedCitation":"See Pippa Norris, {\\i{}In Praise of Skepticism: Trust but Verify} (Oxford University Press 2022) 7.","plainCitation":"See Pippa Norris, In Praise of Skepticism: Trust but Verify (Oxford University Press 2022) 7.","noteIndex":99},"citationItems":[{"id":10858,"uris":["http://zotero.org/users/2073125/items/CDBKG8EZ"],"itemData":{"id":10858,"type":"book","abstract":"A culture of trust is usually claimed to have many public benefits--by lubricating markets, managing organizations, legitimating governments, and facilitating collective action. Any signs of its decline are, and should be, a matter of serious concern. Yet, In Praise of Skepticism recognizes that trust has two faces. Confidence in anti-vax theories has weakened herd immunity. Faith in Q-Anon conspiracy theories triggered insurrection. Disasters flow from gullible beliefs in fake Covid-19 cures, Madoff pyramid schemes, Russian claims of Ukrainian Nazis, and the Big Lie denying President Biden's legitimate election. Trustworthiness involves an informal social contract by which principals authorize agents to act on their behalf in the expectation that they will fulfill their responsibilities with competency, integrity, and impartiality, despite conditions of risk and uncertainty. Skeptical judgments reflect reasonably accurate and informed predictions about agents' future actions based on their past performance and guardrails deterring dishonesty, mendacity, and corruption. We should trust but verify. Unfortunately, assessments are commonly flawed. Both cynical beliefs (underestimating performance) and credulous faith (over-estimating performance) involve erroneous judgements reflecting cultural biases, poor cognitive skills, and information echo chambers. These conclusions draw on new evidence from the European Values Survey/World Values Survey conducted among over 650,000 respondents in more than 100 societies over four decades. In Praise of Skepticism warns that an excess of credulous trust poses serious and hitherto unrecognized risks in a world full of seductive demagogues playing on our insecurities, lying swindlers exploiting our greed, and silver-tongued conspiracy theorists manipulating our darkest fears.","event-place":"New York, NY","ISBN":"978-0-19-753011-5","language":"English","number-of-pages":"320","publisher":"Oxford University Press","publisher-place":"New York, NY","source":"Amazon","title":"In Praise of Skepticism: Trust but Verify","title-short":"In Praise of Skepticism","author":[{"family":"Norris","given":"Pippa"}],"issued":{"date-parts":[["2022",9,23]]}},"locator":"7","label":"page","prefix":"See"}],"schema":"https://github.com/citation-style-language/schema/raw/master/csl-citation.json"} </w:instrText>
      </w:r>
      <w:r w:rsidRPr="00752C15">
        <w:rPr>
          <w:rFonts w:ascii="Times New Roman" w:hAnsi="Times New Roman" w:cs="Times New Roman"/>
        </w:rPr>
        <w:fldChar w:fldCharType="separate"/>
      </w:r>
      <w:r w:rsidRPr="00752C15">
        <w:rPr>
          <w:rFonts w:ascii="Times New Roman" w:hAnsi="Times New Roman" w:cs="Times New Roman"/>
        </w:rPr>
        <w:t xml:space="preserve">See Pippa Norris, </w:t>
      </w:r>
      <w:r w:rsidRPr="00752C15">
        <w:rPr>
          <w:rFonts w:ascii="Times New Roman" w:hAnsi="Times New Roman" w:cs="Times New Roman"/>
          <w:i/>
          <w:iCs/>
        </w:rPr>
        <w:t>In Praise of Skepticism: Trust but Verify</w:t>
      </w:r>
      <w:r w:rsidRPr="00752C15">
        <w:rPr>
          <w:rFonts w:ascii="Times New Roman" w:hAnsi="Times New Roman" w:cs="Times New Roman"/>
        </w:rPr>
        <w:t xml:space="preserve"> (Oxford University Press 2022) 7.</w:t>
      </w:r>
      <w:r w:rsidRPr="00752C15">
        <w:rPr>
          <w:rFonts w:ascii="Times New Roman" w:hAnsi="Times New Roman" w:cs="Times New Roman"/>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561C7" w14:textId="70684313" w:rsidR="00A14EB2" w:rsidRDefault="00DC52BD" w:rsidP="00F06263">
    <w:pPr>
      <w:pStyle w:val="Header"/>
      <w:jc w:val="center"/>
      <w:rPr>
        <w:rFonts w:ascii="Times New Roman" w:hAnsi="Times New Roman" w:cs="Times New Roman"/>
      </w:rPr>
    </w:pPr>
    <w:r w:rsidRPr="00DC52BD">
      <w:rPr>
        <w:rFonts w:ascii="Times New Roman" w:hAnsi="Times New Roman" w:cs="Times New Roman"/>
      </w:rPr>
      <w:t>This is a preprint.</w:t>
    </w:r>
    <w:r w:rsidR="00A14EB2">
      <w:rPr>
        <w:rFonts w:ascii="Times New Roman" w:hAnsi="Times New Roman" w:cs="Times New Roman"/>
      </w:rPr>
      <w:t xml:space="preserve"> For the version of record of the manuscript accepted by </w:t>
    </w:r>
    <w:r w:rsidR="00A14EB2">
      <w:rPr>
        <w:rFonts w:ascii="Times New Roman" w:hAnsi="Times New Roman" w:cs="Times New Roman"/>
        <w:i/>
        <w:iCs/>
      </w:rPr>
      <w:t>European Journal of Risk Regulation</w:t>
    </w:r>
    <w:r w:rsidR="001C558A">
      <w:rPr>
        <w:rFonts w:ascii="Times New Roman" w:hAnsi="Times New Roman" w:cs="Times New Roman"/>
        <w:i/>
        <w:iCs/>
      </w:rPr>
      <w:t xml:space="preserve"> </w:t>
    </w:r>
    <w:r w:rsidR="001C558A">
      <w:rPr>
        <w:rFonts w:ascii="Times New Roman" w:hAnsi="Times New Roman" w:cs="Times New Roman"/>
      </w:rPr>
      <w:t xml:space="preserve">(Vol. 15, No. 1 </w:t>
    </w:r>
    <w:r w:rsidR="001C558A">
      <w:rPr>
        <w:rFonts w:ascii="Times New Roman" w:hAnsi="Times New Roman" w:cs="Times New Roman"/>
        <w:lang w:val="en-IN"/>
      </w:rPr>
      <w:t>[2024], pp. 87–101)</w:t>
    </w:r>
    <w:r w:rsidR="00A14EB2">
      <w:rPr>
        <w:rFonts w:ascii="Times New Roman" w:hAnsi="Times New Roman" w:cs="Times New Roman"/>
        <w:i/>
        <w:iCs/>
      </w:rPr>
      <w:t xml:space="preserve"> </w:t>
    </w:r>
    <w:r w:rsidR="00A14EB2">
      <w:rPr>
        <w:rFonts w:ascii="Times New Roman" w:hAnsi="Times New Roman" w:cs="Times New Roman"/>
      </w:rPr>
      <w:t>please consult the website of Cambridge University Press:</w:t>
    </w:r>
    <w:r w:rsidR="001C558A">
      <w:rPr>
        <w:rFonts w:ascii="Times New Roman" w:hAnsi="Times New Roman" w:cs="Times New Roman"/>
      </w:rPr>
      <w:t xml:space="preserve"> </w:t>
    </w:r>
    <w:hyperlink r:id="rId1" w:history="1">
      <w:r w:rsidR="001C558A" w:rsidRPr="00ED5B1C">
        <w:rPr>
          <w:rStyle w:val="Hyperlink"/>
          <w:rFonts w:ascii="Times New Roman" w:hAnsi="Times New Roman" w:cs="Times New Roman"/>
        </w:rPr>
        <w:t>https://doi.org/10.1017/err.2023.82</w:t>
      </w:r>
    </w:hyperlink>
    <w:r w:rsidR="001C558A">
      <w:rPr>
        <w:rFonts w:ascii="Times New Roman" w:hAnsi="Times New Roman" w:cs="Times New Roman"/>
      </w:rPr>
      <w:t xml:space="preserve">. </w:t>
    </w:r>
  </w:p>
  <w:p w14:paraId="6B36B991" w14:textId="0ABA3A25" w:rsidR="00F06263" w:rsidRPr="00DC52BD" w:rsidRDefault="00DC52BD" w:rsidP="00F06263">
    <w:pPr>
      <w:pStyle w:val="Header"/>
      <w:jc w:val="center"/>
      <w:rPr>
        <w:rFonts w:ascii="Times New Roman" w:hAnsi="Times New Roman" w:cs="Times New Roman"/>
      </w:rPr>
    </w:pPr>
    <w:r w:rsidRPr="00DC52BD">
      <w:rPr>
        <w:rFonts w:ascii="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86EE2"/>
    <w:multiLevelType w:val="hybridMultilevel"/>
    <w:tmpl w:val="3E0A88CE"/>
    <w:lvl w:ilvl="0" w:tplc="F4806D4A">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9370F6A"/>
    <w:multiLevelType w:val="hybridMultilevel"/>
    <w:tmpl w:val="F6F0EC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A35B7A"/>
    <w:multiLevelType w:val="hybridMultilevel"/>
    <w:tmpl w:val="1EDC4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EE635D"/>
    <w:multiLevelType w:val="hybridMultilevel"/>
    <w:tmpl w:val="6E96D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420415"/>
    <w:multiLevelType w:val="hybridMultilevel"/>
    <w:tmpl w:val="319ECFF2"/>
    <w:lvl w:ilvl="0" w:tplc="18B2E32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1515644"/>
    <w:multiLevelType w:val="hybridMultilevel"/>
    <w:tmpl w:val="B0067B1C"/>
    <w:lvl w:ilvl="0" w:tplc="5050A6B4">
      <w:start w:val="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F41E2C"/>
    <w:multiLevelType w:val="hybridMultilevel"/>
    <w:tmpl w:val="6D18CA0A"/>
    <w:lvl w:ilvl="0" w:tplc="6EB48108">
      <w:start w:val="1"/>
      <w:numFmt w:val="decimal"/>
      <w:lvlText w:val="%1."/>
      <w:lvlJc w:val="left"/>
      <w:pPr>
        <w:tabs>
          <w:tab w:val="num" w:pos="720"/>
        </w:tabs>
        <w:ind w:left="720" w:hanging="360"/>
      </w:pPr>
    </w:lvl>
    <w:lvl w:ilvl="1" w:tplc="9E22E5CC">
      <w:start w:val="1"/>
      <w:numFmt w:val="decimal"/>
      <w:lvlText w:val="%2."/>
      <w:lvlJc w:val="left"/>
      <w:pPr>
        <w:tabs>
          <w:tab w:val="num" w:pos="1440"/>
        </w:tabs>
        <w:ind w:left="1440" w:hanging="360"/>
      </w:pPr>
    </w:lvl>
    <w:lvl w:ilvl="2" w:tplc="64A80868" w:tentative="1">
      <w:start w:val="1"/>
      <w:numFmt w:val="decimal"/>
      <w:lvlText w:val="%3."/>
      <w:lvlJc w:val="left"/>
      <w:pPr>
        <w:tabs>
          <w:tab w:val="num" w:pos="2160"/>
        </w:tabs>
        <w:ind w:left="2160" w:hanging="360"/>
      </w:pPr>
    </w:lvl>
    <w:lvl w:ilvl="3" w:tplc="B76893EC" w:tentative="1">
      <w:start w:val="1"/>
      <w:numFmt w:val="decimal"/>
      <w:lvlText w:val="%4."/>
      <w:lvlJc w:val="left"/>
      <w:pPr>
        <w:tabs>
          <w:tab w:val="num" w:pos="2880"/>
        </w:tabs>
        <w:ind w:left="2880" w:hanging="360"/>
      </w:pPr>
    </w:lvl>
    <w:lvl w:ilvl="4" w:tplc="4DC264B0" w:tentative="1">
      <w:start w:val="1"/>
      <w:numFmt w:val="decimal"/>
      <w:lvlText w:val="%5."/>
      <w:lvlJc w:val="left"/>
      <w:pPr>
        <w:tabs>
          <w:tab w:val="num" w:pos="3600"/>
        </w:tabs>
        <w:ind w:left="3600" w:hanging="360"/>
      </w:pPr>
    </w:lvl>
    <w:lvl w:ilvl="5" w:tplc="0F268D28" w:tentative="1">
      <w:start w:val="1"/>
      <w:numFmt w:val="decimal"/>
      <w:lvlText w:val="%6."/>
      <w:lvlJc w:val="left"/>
      <w:pPr>
        <w:tabs>
          <w:tab w:val="num" w:pos="4320"/>
        </w:tabs>
        <w:ind w:left="4320" w:hanging="360"/>
      </w:pPr>
    </w:lvl>
    <w:lvl w:ilvl="6" w:tplc="C44AE598" w:tentative="1">
      <w:start w:val="1"/>
      <w:numFmt w:val="decimal"/>
      <w:lvlText w:val="%7."/>
      <w:lvlJc w:val="left"/>
      <w:pPr>
        <w:tabs>
          <w:tab w:val="num" w:pos="5040"/>
        </w:tabs>
        <w:ind w:left="5040" w:hanging="360"/>
      </w:pPr>
    </w:lvl>
    <w:lvl w:ilvl="7" w:tplc="A0345568" w:tentative="1">
      <w:start w:val="1"/>
      <w:numFmt w:val="decimal"/>
      <w:lvlText w:val="%8."/>
      <w:lvlJc w:val="left"/>
      <w:pPr>
        <w:tabs>
          <w:tab w:val="num" w:pos="5760"/>
        </w:tabs>
        <w:ind w:left="5760" w:hanging="360"/>
      </w:pPr>
    </w:lvl>
    <w:lvl w:ilvl="8" w:tplc="0AE8B306" w:tentative="1">
      <w:start w:val="1"/>
      <w:numFmt w:val="decimal"/>
      <w:lvlText w:val="%9."/>
      <w:lvlJc w:val="left"/>
      <w:pPr>
        <w:tabs>
          <w:tab w:val="num" w:pos="6480"/>
        </w:tabs>
        <w:ind w:left="6480" w:hanging="360"/>
      </w:pPr>
    </w:lvl>
  </w:abstractNum>
  <w:num w:numId="1" w16cid:durableId="605770466">
    <w:abstractNumId w:val="2"/>
  </w:num>
  <w:num w:numId="2" w16cid:durableId="658047217">
    <w:abstractNumId w:val="3"/>
  </w:num>
  <w:num w:numId="3" w16cid:durableId="1786463515">
    <w:abstractNumId w:val="5"/>
  </w:num>
  <w:num w:numId="4" w16cid:durableId="2118213842">
    <w:abstractNumId w:val="1"/>
  </w:num>
  <w:num w:numId="5" w16cid:durableId="578758218">
    <w:abstractNumId w:val="0"/>
  </w:num>
  <w:num w:numId="6" w16cid:durableId="1258562845">
    <w:abstractNumId w:val="6"/>
  </w:num>
  <w:num w:numId="7" w16cid:durableId="20227746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proofState w:spelling="clean" w:grammar="clean"/>
  <w:defaultTabStop w:val="720"/>
  <w:characterSpacingControl w:val="doNotCompress"/>
  <w:hdrShapeDefaults>
    <o:shapedefaults v:ext="edit" spidmax="2050"/>
  </w:hdrShapeDefaults>
  <w:footnotePr>
    <w:numFmt w:val="chicago"/>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A8A"/>
    <w:rsid w:val="00002843"/>
    <w:rsid w:val="00002CEF"/>
    <w:rsid w:val="0000490E"/>
    <w:rsid w:val="000053F0"/>
    <w:rsid w:val="0001002B"/>
    <w:rsid w:val="00012028"/>
    <w:rsid w:val="000152A5"/>
    <w:rsid w:val="0001591F"/>
    <w:rsid w:val="00033410"/>
    <w:rsid w:val="00033CB6"/>
    <w:rsid w:val="00034C68"/>
    <w:rsid w:val="00036BD1"/>
    <w:rsid w:val="00044113"/>
    <w:rsid w:val="00046089"/>
    <w:rsid w:val="000550FB"/>
    <w:rsid w:val="000576A3"/>
    <w:rsid w:val="00060C30"/>
    <w:rsid w:val="00060F24"/>
    <w:rsid w:val="0006443A"/>
    <w:rsid w:val="00065CB2"/>
    <w:rsid w:val="0007159F"/>
    <w:rsid w:val="00072723"/>
    <w:rsid w:val="00073BCD"/>
    <w:rsid w:val="00076924"/>
    <w:rsid w:val="00077282"/>
    <w:rsid w:val="00082CC0"/>
    <w:rsid w:val="00084DCE"/>
    <w:rsid w:val="00087C16"/>
    <w:rsid w:val="00091ABF"/>
    <w:rsid w:val="00091AE7"/>
    <w:rsid w:val="00095B12"/>
    <w:rsid w:val="000A0DD9"/>
    <w:rsid w:val="000B1E87"/>
    <w:rsid w:val="000B2FD0"/>
    <w:rsid w:val="000B4F2C"/>
    <w:rsid w:val="000B513E"/>
    <w:rsid w:val="000B7695"/>
    <w:rsid w:val="000B781D"/>
    <w:rsid w:val="000B7D6D"/>
    <w:rsid w:val="000C03AD"/>
    <w:rsid w:val="000C0F7C"/>
    <w:rsid w:val="000C2670"/>
    <w:rsid w:val="000C4E59"/>
    <w:rsid w:val="000D1F8A"/>
    <w:rsid w:val="000D2B3A"/>
    <w:rsid w:val="000D53CF"/>
    <w:rsid w:val="000E229C"/>
    <w:rsid w:val="000E4C2F"/>
    <w:rsid w:val="000E7129"/>
    <w:rsid w:val="000F1512"/>
    <w:rsid w:val="000F1699"/>
    <w:rsid w:val="000F3029"/>
    <w:rsid w:val="000F5325"/>
    <w:rsid w:val="000F6C98"/>
    <w:rsid w:val="000F70E2"/>
    <w:rsid w:val="000F7B30"/>
    <w:rsid w:val="00100838"/>
    <w:rsid w:val="00100E35"/>
    <w:rsid w:val="00101D3A"/>
    <w:rsid w:val="00104AA7"/>
    <w:rsid w:val="00107DE4"/>
    <w:rsid w:val="00107E27"/>
    <w:rsid w:val="00111A38"/>
    <w:rsid w:val="0012253A"/>
    <w:rsid w:val="001247C6"/>
    <w:rsid w:val="00125054"/>
    <w:rsid w:val="001261FB"/>
    <w:rsid w:val="00131CD0"/>
    <w:rsid w:val="00134DD5"/>
    <w:rsid w:val="0013547F"/>
    <w:rsid w:val="00137EF2"/>
    <w:rsid w:val="00144411"/>
    <w:rsid w:val="00145323"/>
    <w:rsid w:val="00151395"/>
    <w:rsid w:val="00151665"/>
    <w:rsid w:val="001534B4"/>
    <w:rsid w:val="0015584D"/>
    <w:rsid w:val="00156544"/>
    <w:rsid w:val="00165D61"/>
    <w:rsid w:val="00167A8A"/>
    <w:rsid w:val="00170A74"/>
    <w:rsid w:val="001739D7"/>
    <w:rsid w:val="001808EB"/>
    <w:rsid w:val="00180EAA"/>
    <w:rsid w:val="001813C3"/>
    <w:rsid w:val="00181449"/>
    <w:rsid w:val="00182ED0"/>
    <w:rsid w:val="0018471D"/>
    <w:rsid w:val="001912D0"/>
    <w:rsid w:val="00192B3E"/>
    <w:rsid w:val="00192D07"/>
    <w:rsid w:val="00195341"/>
    <w:rsid w:val="00195CA9"/>
    <w:rsid w:val="00196CA2"/>
    <w:rsid w:val="001A4794"/>
    <w:rsid w:val="001C09F1"/>
    <w:rsid w:val="001C0E72"/>
    <w:rsid w:val="001C13FF"/>
    <w:rsid w:val="001C2959"/>
    <w:rsid w:val="001C39AF"/>
    <w:rsid w:val="001C558A"/>
    <w:rsid w:val="001D4D64"/>
    <w:rsid w:val="001D5281"/>
    <w:rsid w:val="001D631D"/>
    <w:rsid w:val="001D7635"/>
    <w:rsid w:val="001E1BF2"/>
    <w:rsid w:val="001E409E"/>
    <w:rsid w:val="001E61A5"/>
    <w:rsid w:val="001E7EE2"/>
    <w:rsid w:val="0020001A"/>
    <w:rsid w:val="00201D56"/>
    <w:rsid w:val="00204C54"/>
    <w:rsid w:val="00206A22"/>
    <w:rsid w:val="00210B8D"/>
    <w:rsid w:val="002110C9"/>
    <w:rsid w:val="00217832"/>
    <w:rsid w:val="00217950"/>
    <w:rsid w:val="00226161"/>
    <w:rsid w:val="00227E3F"/>
    <w:rsid w:val="00230B32"/>
    <w:rsid w:val="002314D4"/>
    <w:rsid w:val="00231602"/>
    <w:rsid w:val="00245EBF"/>
    <w:rsid w:val="0024699A"/>
    <w:rsid w:val="00246AC2"/>
    <w:rsid w:val="002504D5"/>
    <w:rsid w:val="00251307"/>
    <w:rsid w:val="00251362"/>
    <w:rsid w:val="00252725"/>
    <w:rsid w:val="00252E49"/>
    <w:rsid w:val="00253F83"/>
    <w:rsid w:val="00254C4B"/>
    <w:rsid w:val="0026622B"/>
    <w:rsid w:val="00266EA7"/>
    <w:rsid w:val="00271027"/>
    <w:rsid w:val="00275954"/>
    <w:rsid w:val="00275A7E"/>
    <w:rsid w:val="0028026C"/>
    <w:rsid w:val="002813B9"/>
    <w:rsid w:val="00285286"/>
    <w:rsid w:val="0028764C"/>
    <w:rsid w:val="0028799C"/>
    <w:rsid w:val="00292E8D"/>
    <w:rsid w:val="00294ED9"/>
    <w:rsid w:val="00296CE2"/>
    <w:rsid w:val="002A2826"/>
    <w:rsid w:val="002A2F18"/>
    <w:rsid w:val="002A74D0"/>
    <w:rsid w:val="002B0677"/>
    <w:rsid w:val="002B76D3"/>
    <w:rsid w:val="002C29AF"/>
    <w:rsid w:val="002C656C"/>
    <w:rsid w:val="002C658C"/>
    <w:rsid w:val="002C691F"/>
    <w:rsid w:val="002D1273"/>
    <w:rsid w:val="002D5190"/>
    <w:rsid w:val="002D6EF1"/>
    <w:rsid w:val="002D7CB3"/>
    <w:rsid w:val="002D7CBA"/>
    <w:rsid w:val="002E0924"/>
    <w:rsid w:val="002F0582"/>
    <w:rsid w:val="002F65F3"/>
    <w:rsid w:val="00303D0D"/>
    <w:rsid w:val="00305681"/>
    <w:rsid w:val="003075A4"/>
    <w:rsid w:val="00307EE2"/>
    <w:rsid w:val="0031145D"/>
    <w:rsid w:val="00311C43"/>
    <w:rsid w:val="00311CF1"/>
    <w:rsid w:val="00313362"/>
    <w:rsid w:val="00316DD0"/>
    <w:rsid w:val="00323261"/>
    <w:rsid w:val="00331181"/>
    <w:rsid w:val="00332F25"/>
    <w:rsid w:val="003476BE"/>
    <w:rsid w:val="0035002E"/>
    <w:rsid w:val="00352FB4"/>
    <w:rsid w:val="00356D29"/>
    <w:rsid w:val="00360558"/>
    <w:rsid w:val="00360F32"/>
    <w:rsid w:val="00361425"/>
    <w:rsid w:val="00361BBB"/>
    <w:rsid w:val="003659C1"/>
    <w:rsid w:val="00370790"/>
    <w:rsid w:val="00370BC4"/>
    <w:rsid w:val="00373BFC"/>
    <w:rsid w:val="003746E2"/>
    <w:rsid w:val="003759B6"/>
    <w:rsid w:val="003768BA"/>
    <w:rsid w:val="003778EC"/>
    <w:rsid w:val="00377BC1"/>
    <w:rsid w:val="00380ADE"/>
    <w:rsid w:val="00387A20"/>
    <w:rsid w:val="0039002F"/>
    <w:rsid w:val="00392732"/>
    <w:rsid w:val="003A1ED4"/>
    <w:rsid w:val="003A48F2"/>
    <w:rsid w:val="003A7125"/>
    <w:rsid w:val="003C4E41"/>
    <w:rsid w:val="003C5082"/>
    <w:rsid w:val="003C51D2"/>
    <w:rsid w:val="003C68CD"/>
    <w:rsid w:val="003C6B86"/>
    <w:rsid w:val="003D26E5"/>
    <w:rsid w:val="003D3EC5"/>
    <w:rsid w:val="003D5CAD"/>
    <w:rsid w:val="003D5E78"/>
    <w:rsid w:val="003D754F"/>
    <w:rsid w:val="003E37CB"/>
    <w:rsid w:val="003E3D01"/>
    <w:rsid w:val="003F0BBC"/>
    <w:rsid w:val="003F12AD"/>
    <w:rsid w:val="003F192B"/>
    <w:rsid w:val="003F1C3F"/>
    <w:rsid w:val="003F1DB5"/>
    <w:rsid w:val="003F255E"/>
    <w:rsid w:val="003F7703"/>
    <w:rsid w:val="003F7E74"/>
    <w:rsid w:val="004014B9"/>
    <w:rsid w:val="004048C9"/>
    <w:rsid w:val="00410593"/>
    <w:rsid w:val="00410ECD"/>
    <w:rsid w:val="00426B78"/>
    <w:rsid w:val="00427DC6"/>
    <w:rsid w:val="00432055"/>
    <w:rsid w:val="00432E91"/>
    <w:rsid w:val="00436177"/>
    <w:rsid w:val="004405AC"/>
    <w:rsid w:val="0044124A"/>
    <w:rsid w:val="00441832"/>
    <w:rsid w:val="00444425"/>
    <w:rsid w:val="00446692"/>
    <w:rsid w:val="0045126D"/>
    <w:rsid w:val="0045201E"/>
    <w:rsid w:val="004529FE"/>
    <w:rsid w:val="004538C6"/>
    <w:rsid w:val="00463796"/>
    <w:rsid w:val="004651BC"/>
    <w:rsid w:val="004669A5"/>
    <w:rsid w:val="00470C38"/>
    <w:rsid w:val="004714DE"/>
    <w:rsid w:val="00481A0A"/>
    <w:rsid w:val="0049119C"/>
    <w:rsid w:val="00492976"/>
    <w:rsid w:val="004957E4"/>
    <w:rsid w:val="00495CA4"/>
    <w:rsid w:val="004A22AC"/>
    <w:rsid w:val="004B7402"/>
    <w:rsid w:val="004C074D"/>
    <w:rsid w:val="004C1B6D"/>
    <w:rsid w:val="004C1FBD"/>
    <w:rsid w:val="004C6CAB"/>
    <w:rsid w:val="004D5FD5"/>
    <w:rsid w:val="004D6627"/>
    <w:rsid w:val="004E5509"/>
    <w:rsid w:val="004F70DB"/>
    <w:rsid w:val="00506BC4"/>
    <w:rsid w:val="00515453"/>
    <w:rsid w:val="00517231"/>
    <w:rsid w:val="00521193"/>
    <w:rsid w:val="00523963"/>
    <w:rsid w:val="005242EC"/>
    <w:rsid w:val="00531C60"/>
    <w:rsid w:val="0053282B"/>
    <w:rsid w:val="005338F8"/>
    <w:rsid w:val="00536CBB"/>
    <w:rsid w:val="005427A1"/>
    <w:rsid w:val="0054580F"/>
    <w:rsid w:val="005504B1"/>
    <w:rsid w:val="005513E5"/>
    <w:rsid w:val="00551802"/>
    <w:rsid w:val="005531F4"/>
    <w:rsid w:val="00557274"/>
    <w:rsid w:val="00560B09"/>
    <w:rsid w:val="005617A0"/>
    <w:rsid w:val="0056231D"/>
    <w:rsid w:val="005638C6"/>
    <w:rsid w:val="00564A66"/>
    <w:rsid w:val="00566485"/>
    <w:rsid w:val="00577740"/>
    <w:rsid w:val="00582795"/>
    <w:rsid w:val="00583903"/>
    <w:rsid w:val="005840DF"/>
    <w:rsid w:val="00585FBA"/>
    <w:rsid w:val="005860C5"/>
    <w:rsid w:val="00587F18"/>
    <w:rsid w:val="005944D3"/>
    <w:rsid w:val="00595762"/>
    <w:rsid w:val="005A4BC1"/>
    <w:rsid w:val="005A61AF"/>
    <w:rsid w:val="005B04DA"/>
    <w:rsid w:val="005B32E0"/>
    <w:rsid w:val="005B39AC"/>
    <w:rsid w:val="005B3AC5"/>
    <w:rsid w:val="005B5DFB"/>
    <w:rsid w:val="005B5F9B"/>
    <w:rsid w:val="005B6F76"/>
    <w:rsid w:val="005C0435"/>
    <w:rsid w:val="005C1FD4"/>
    <w:rsid w:val="005C2400"/>
    <w:rsid w:val="005C52D5"/>
    <w:rsid w:val="005C5C33"/>
    <w:rsid w:val="005D1194"/>
    <w:rsid w:val="005E05D5"/>
    <w:rsid w:val="005E0C20"/>
    <w:rsid w:val="005E0C77"/>
    <w:rsid w:val="005E0E3C"/>
    <w:rsid w:val="005E1692"/>
    <w:rsid w:val="005E4E69"/>
    <w:rsid w:val="005F1037"/>
    <w:rsid w:val="005F1171"/>
    <w:rsid w:val="005F2AB8"/>
    <w:rsid w:val="005F3FC8"/>
    <w:rsid w:val="005F40B2"/>
    <w:rsid w:val="005F4FC6"/>
    <w:rsid w:val="00600312"/>
    <w:rsid w:val="006062A7"/>
    <w:rsid w:val="0061520B"/>
    <w:rsid w:val="00630210"/>
    <w:rsid w:val="00630A93"/>
    <w:rsid w:val="00631B6E"/>
    <w:rsid w:val="0063229A"/>
    <w:rsid w:val="00634C26"/>
    <w:rsid w:val="0063698A"/>
    <w:rsid w:val="00645672"/>
    <w:rsid w:val="006457BC"/>
    <w:rsid w:val="00646459"/>
    <w:rsid w:val="00647131"/>
    <w:rsid w:val="00653D62"/>
    <w:rsid w:val="006562B1"/>
    <w:rsid w:val="0065679A"/>
    <w:rsid w:val="00657F8D"/>
    <w:rsid w:val="006602DF"/>
    <w:rsid w:val="006602FC"/>
    <w:rsid w:val="006677E8"/>
    <w:rsid w:val="00667924"/>
    <w:rsid w:val="006779BA"/>
    <w:rsid w:val="00681F81"/>
    <w:rsid w:val="0068281E"/>
    <w:rsid w:val="006830AA"/>
    <w:rsid w:val="00686351"/>
    <w:rsid w:val="00687558"/>
    <w:rsid w:val="006904DA"/>
    <w:rsid w:val="00690801"/>
    <w:rsid w:val="006939B3"/>
    <w:rsid w:val="006A2734"/>
    <w:rsid w:val="006A5F5B"/>
    <w:rsid w:val="006A64E1"/>
    <w:rsid w:val="006B2808"/>
    <w:rsid w:val="006B3707"/>
    <w:rsid w:val="006B3FD2"/>
    <w:rsid w:val="006B60DB"/>
    <w:rsid w:val="006B6FC6"/>
    <w:rsid w:val="006B70C3"/>
    <w:rsid w:val="006B7E8F"/>
    <w:rsid w:val="006C0BBA"/>
    <w:rsid w:val="006C4DB0"/>
    <w:rsid w:val="006C584B"/>
    <w:rsid w:val="006C7FFB"/>
    <w:rsid w:val="006D2D49"/>
    <w:rsid w:val="006E77AC"/>
    <w:rsid w:val="006F12D0"/>
    <w:rsid w:val="006F54F3"/>
    <w:rsid w:val="006F6C4C"/>
    <w:rsid w:val="006F71F3"/>
    <w:rsid w:val="007013D8"/>
    <w:rsid w:val="00711D62"/>
    <w:rsid w:val="007123B7"/>
    <w:rsid w:val="00712E85"/>
    <w:rsid w:val="0071665B"/>
    <w:rsid w:val="00716AAC"/>
    <w:rsid w:val="00726308"/>
    <w:rsid w:val="007315B0"/>
    <w:rsid w:val="007320DE"/>
    <w:rsid w:val="007405BE"/>
    <w:rsid w:val="00740B1D"/>
    <w:rsid w:val="00742B6A"/>
    <w:rsid w:val="00743CBC"/>
    <w:rsid w:val="00750463"/>
    <w:rsid w:val="007517DF"/>
    <w:rsid w:val="00752C15"/>
    <w:rsid w:val="007554ED"/>
    <w:rsid w:val="00761E52"/>
    <w:rsid w:val="00762A94"/>
    <w:rsid w:val="007631B4"/>
    <w:rsid w:val="00764C71"/>
    <w:rsid w:val="007657B9"/>
    <w:rsid w:val="007709E1"/>
    <w:rsid w:val="0077427E"/>
    <w:rsid w:val="007749A8"/>
    <w:rsid w:val="00774EC3"/>
    <w:rsid w:val="00775BA3"/>
    <w:rsid w:val="00775EDD"/>
    <w:rsid w:val="0077659F"/>
    <w:rsid w:val="00780449"/>
    <w:rsid w:val="007815F4"/>
    <w:rsid w:val="0078185C"/>
    <w:rsid w:val="007820E3"/>
    <w:rsid w:val="007833EA"/>
    <w:rsid w:val="007843A5"/>
    <w:rsid w:val="00785422"/>
    <w:rsid w:val="007857D7"/>
    <w:rsid w:val="00786676"/>
    <w:rsid w:val="00786C2E"/>
    <w:rsid w:val="00787F90"/>
    <w:rsid w:val="00790BE5"/>
    <w:rsid w:val="00790D93"/>
    <w:rsid w:val="007915FA"/>
    <w:rsid w:val="00793208"/>
    <w:rsid w:val="00793682"/>
    <w:rsid w:val="007961AD"/>
    <w:rsid w:val="007A16D4"/>
    <w:rsid w:val="007A697B"/>
    <w:rsid w:val="007B02E4"/>
    <w:rsid w:val="007B24AC"/>
    <w:rsid w:val="007B4088"/>
    <w:rsid w:val="007B4EB3"/>
    <w:rsid w:val="007B538F"/>
    <w:rsid w:val="007C2A02"/>
    <w:rsid w:val="007D50DC"/>
    <w:rsid w:val="007D5302"/>
    <w:rsid w:val="007D5F07"/>
    <w:rsid w:val="007D7E90"/>
    <w:rsid w:val="007E6607"/>
    <w:rsid w:val="007F11E2"/>
    <w:rsid w:val="007F21A0"/>
    <w:rsid w:val="007F21A9"/>
    <w:rsid w:val="007F2807"/>
    <w:rsid w:val="007F7BFD"/>
    <w:rsid w:val="00801EC1"/>
    <w:rsid w:val="00802787"/>
    <w:rsid w:val="00802F31"/>
    <w:rsid w:val="00806E28"/>
    <w:rsid w:val="00814CE1"/>
    <w:rsid w:val="00815CA5"/>
    <w:rsid w:val="00821CB5"/>
    <w:rsid w:val="00826834"/>
    <w:rsid w:val="00832072"/>
    <w:rsid w:val="00843D1F"/>
    <w:rsid w:val="00845E7D"/>
    <w:rsid w:val="00851FB8"/>
    <w:rsid w:val="0085233A"/>
    <w:rsid w:val="00857DB1"/>
    <w:rsid w:val="00862934"/>
    <w:rsid w:val="00862C4E"/>
    <w:rsid w:val="00862F50"/>
    <w:rsid w:val="008634D7"/>
    <w:rsid w:val="00866CFC"/>
    <w:rsid w:val="008702D4"/>
    <w:rsid w:val="00871819"/>
    <w:rsid w:val="0087181B"/>
    <w:rsid w:val="00871AB1"/>
    <w:rsid w:val="00876646"/>
    <w:rsid w:val="00883FCB"/>
    <w:rsid w:val="00886927"/>
    <w:rsid w:val="00887A2E"/>
    <w:rsid w:val="00890D6B"/>
    <w:rsid w:val="00890EB3"/>
    <w:rsid w:val="008947A0"/>
    <w:rsid w:val="00895146"/>
    <w:rsid w:val="0089676D"/>
    <w:rsid w:val="0089746C"/>
    <w:rsid w:val="008A0D66"/>
    <w:rsid w:val="008A1509"/>
    <w:rsid w:val="008A6C48"/>
    <w:rsid w:val="008B2BC4"/>
    <w:rsid w:val="008B379A"/>
    <w:rsid w:val="008B6259"/>
    <w:rsid w:val="008B6671"/>
    <w:rsid w:val="008B736F"/>
    <w:rsid w:val="008B79D2"/>
    <w:rsid w:val="008C0154"/>
    <w:rsid w:val="008C06CF"/>
    <w:rsid w:val="008C0DE4"/>
    <w:rsid w:val="008C64B6"/>
    <w:rsid w:val="008D3596"/>
    <w:rsid w:val="008D3CA1"/>
    <w:rsid w:val="008E23BF"/>
    <w:rsid w:val="008E39DF"/>
    <w:rsid w:val="008E3DD5"/>
    <w:rsid w:val="008E75D3"/>
    <w:rsid w:val="008E7F37"/>
    <w:rsid w:val="008F0996"/>
    <w:rsid w:val="008F3238"/>
    <w:rsid w:val="008F3848"/>
    <w:rsid w:val="008F61DB"/>
    <w:rsid w:val="008F7EFB"/>
    <w:rsid w:val="00903C4A"/>
    <w:rsid w:val="00904813"/>
    <w:rsid w:val="00911124"/>
    <w:rsid w:val="00911A5B"/>
    <w:rsid w:val="00911A98"/>
    <w:rsid w:val="009122DD"/>
    <w:rsid w:val="00915060"/>
    <w:rsid w:val="00916CAB"/>
    <w:rsid w:val="00917EC9"/>
    <w:rsid w:val="009214A2"/>
    <w:rsid w:val="00930581"/>
    <w:rsid w:val="009315CB"/>
    <w:rsid w:val="00935C71"/>
    <w:rsid w:val="00945389"/>
    <w:rsid w:val="00951782"/>
    <w:rsid w:val="00952587"/>
    <w:rsid w:val="0095644F"/>
    <w:rsid w:val="009663F8"/>
    <w:rsid w:val="00967E73"/>
    <w:rsid w:val="00971019"/>
    <w:rsid w:val="0097267E"/>
    <w:rsid w:val="00987663"/>
    <w:rsid w:val="00987E23"/>
    <w:rsid w:val="00991324"/>
    <w:rsid w:val="009929A2"/>
    <w:rsid w:val="0099458C"/>
    <w:rsid w:val="00996F76"/>
    <w:rsid w:val="009A0D29"/>
    <w:rsid w:val="009A3F36"/>
    <w:rsid w:val="009A58FE"/>
    <w:rsid w:val="009C2D41"/>
    <w:rsid w:val="009C395B"/>
    <w:rsid w:val="009D20E6"/>
    <w:rsid w:val="009D4150"/>
    <w:rsid w:val="009D532F"/>
    <w:rsid w:val="009D61D6"/>
    <w:rsid w:val="009D7DF8"/>
    <w:rsid w:val="009E225C"/>
    <w:rsid w:val="009F164D"/>
    <w:rsid w:val="009F4C3F"/>
    <w:rsid w:val="009F56E8"/>
    <w:rsid w:val="009F794F"/>
    <w:rsid w:val="00A00DCA"/>
    <w:rsid w:val="00A0519F"/>
    <w:rsid w:val="00A05C75"/>
    <w:rsid w:val="00A06A81"/>
    <w:rsid w:val="00A10DD1"/>
    <w:rsid w:val="00A11605"/>
    <w:rsid w:val="00A126E4"/>
    <w:rsid w:val="00A13CFE"/>
    <w:rsid w:val="00A14C46"/>
    <w:rsid w:val="00A14EB2"/>
    <w:rsid w:val="00A201B7"/>
    <w:rsid w:val="00A271E8"/>
    <w:rsid w:val="00A31293"/>
    <w:rsid w:val="00A345CF"/>
    <w:rsid w:val="00A37816"/>
    <w:rsid w:val="00A40EFC"/>
    <w:rsid w:val="00A41981"/>
    <w:rsid w:val="00A445E5"/>
    <w:rsid w:val="00A4546F"/>
    <w:rsid w:val="00A47B51"/>
    <w:rsid w:val="00A504ED"/>
    <w:rsid w:val="00A52064"/>
    <w:rsid w:val="00A53E6B"/>
    <w:rsid w:val="00A554D9"/>
    <w:rsid w:val="00A60289"/>
    <w:rsid w:val="00A62EB9"/>
    <w:rsid w:val="00A6766F"/>
    <w:rsid w:val="00A754E6"/>
    <w:rsid w:val="00A758AE"/>
    <w:rsid w:val="00A76BEA"/>
    <w:rsid w:val="00A90D05"/>
    <w:rsid w:val="00A9248A"/>
    <w:rsid w:val="00A925CC"/>
    <w:rsid w:val="00A934B9"/>
    <w:rsid w:val="00A93D35"/>
    <w:rsid w:val="00A95E4A"/>
    <w:rsid w:val="00AA3E76"/>
    <w:rsid w:val="00AB3D6C"/>
    <w:rsid w:val="00AB49D0"/>
    <w:rsid w:val="00AB5723"/>
    <w:rsid w:val="00AC2097"/>
    <w:rsid w:val="00AC5813"/>
    <w:rsid w:val="00AC70D9"/>
    <w:rsid w:val="00AD3609"/>
    <w:rsid w:val="00AD5D82"/>
    <w:rsid w:val="00AD7DA6"/>
    <w:rsid w:val="00AE34FE"/>
    <w:rsid w:val="00AE35A2"/>
    <w:rsid w:val="00AE5EC6"/>
    <w:rsid w:val="00AF78CB"/>
    <w:rsid w:val="00B00904"/>
    <w:rsid w:val="00B04A5E"/>
    <w:rsid w:val="00B05505"/>
    <w:rsid w:val="00B06B46"/>
    <w:rsid w:val="00B076C0"/>
    <w:rsid w:val="00B10350"/>
    <w:rsid w:val="00B12225"/>
    <w:rsid w:val="00B1735C"/>
    <w:rsid w:val="00B2666A"/>
    <w:rsid w:val="00B30FB1"/>
    <w:rsid w:val="00B31EF7"/>
    <w:rsid w:val="00B321CE"/>
    <w:rsid w:val="00B32F73"/>
    <w:rsid w:val="00B34F79"/>
    <w:rsid w:val="00B35014"/>
    <w:rsid w:val="00B35C2B"/>
    <w:rsid w:val="00B3621E"/>
    <w:rsid w:val="00B36456"/>
    <w:rsid w:val="00B36F27"/>
    <w:rsid w:val="00B4116B"/>
    <w:rsid w:val="00B42F1C"/>
    <w:rsid w:val="00B43C6B"/>
    <w:rsid w:val="00B47543"/>
    <w:rsid w:val="00B501D5"/>
    <w:rsid w:val="00B504B7"/>
    <w:rsid w:val="00B51714"/>
    <w:rsid w:val="00B53212"/>
    <w:rsid w:val="00B53E1B"/>
    <w:rsid w:val="00B5784B"/>
    <w:rsid w:val="00B62AD6"/>
    <w:rsid w:val="00B62F76"/>
    <w:rsid w:val="00B64C2D"/>
    <w:rsid w:val="00B6528B"/>
    <w:rsid w:val="00B74D55"/>
    <w:rsid w:val="00B75C3A"/>
    <w:rsid w:val="00B77CAA"/>
    <w:rsid w:val="00B8059E"/>
    <w:rsid w:val="00B82CA2"/>
    <w:rsid w:val="00B83B56"/>
    <w:rsid w:val="00B8477D"/>
    <w:rsid w:val="00B852A2"/>
    <w:rsid w:val="00B9281D"/>
    <w:rsid w:val="00B92F4D"/>
    <w:rsid w:val="00B96E17"/>
    <w:rsid w:val="00BA01E7"/>
    <w:rsid w:val="00BA2E20"/>
    <w:rsid w:val="00BA70EA"/>
    <w:rsid w:val="00BB1B50"/>
    <w:rsid w:val="00BB7C28"/>
    <w:rsid w:val="00BC01BF"/>
    <w:rsid w:val="00BC1288"/>
    <w:rsid w:val="00BC1B7F"/>
    <w:rsid w:val="00BC1F8A"/>
    <w:rsid w:val="00BC4400"/>
    <w:rsid w:val="00BC596C"/>
    <w:rsid w:val="00BD2104"/>
    <w:rsid w:val="00BD21B5"/>
    <w:rsid w:val="00BD3B65"/>
    <w:rsid w:val="00BD4343"/>
    <w:rsid w:val="00BD5E94"/>
    <w:rsid w:val="00BD67DB"/>
    <w:rsid w:val="00BD6A54"/>
    <w:rsid w:val="00BD7023"/>
    <w:rsid w:val="00BD7CC1"/>
    <w:rsid w:val="00BE22DF"/>
    <w:rsid w:val="00BE48C3"/>
    <w:rsid w:val="00BF166A"/>
    <w:rsid w:val="00BF3BC4"/>
    <w:rsid w:val="00BF411E"/>
    <w:rsid w:val="00BF44BD"/>
    <w:rsid w:val="00BF5D06"/>
    <w:rsid w:val="00C02720"/>
    <w:rsid w:val="00C05CEA"/>
    <w:rsid w:val="00C10DBD"/>
    <w:rsid w:val="00C11777"/>
    <w:rsid w:val="00C153ED"/>
    <w:rsid w:val="00C21370"/>
    <w:rsid w:val="00C245E0"/>
    <w:rsid w:val="00C25C41"/>
    <w:rsid w:val="00C3082E"/>
    <w:rsid w:val="00C33655"/>
    <w:rsid w:val="00C33BA4"/>
    <w:rsid w:val="00C430A8"/>
    <w:rsid w:val="00C52AC0"/>
    <w:rsid w:val="00C6076C"/>
    <w:rsid w:val="00C63FEA"/>
    <w:rsid w:val="00C6425F"/>
    <w:rsid w:val="00C65B38"/>
    <w:rsid w:val="00C71343"/>
    <w:rsid w:val="00C73E62"/>
    <w:rsid w:val="00C75A5C"/>
    <w:rsid w:val="00C802FF"/>
    <w:rsid w:val="00C81269"/>
    <w:rsid w:val="00C87C06"/>
    <w:rsid w:val="00C916B1"/>
    <w:rsid w:val="00C93133"/>
    <w:rsid w:val="00C938F0"/>
    <w:rsid w:val="00C93B12"/>
    <w:rsid w:val="00C95718"/>
    <w:rsid w:val="00CA3C2E"/>
    <w:rsid w:val="00CA405C"/>
    <w:rsid w:val="00CA6FFC"/>
    <w:rsid w:val="00CA7558"/>
    <w:rsid w:val="00CB44B7"/>
    <w:rsid w:val="00CB4918"/>
    <w:rsid w:val="00CB6942"/>
    <w:rsid w:val="00CB749B"/>
    <w:rsid w:val="00CC44FD"/>
    <w:rsid w:val="00CC47A2"/>
    <w:rsid w:val="00CD0456"/>
    <w:rsid w:val="00CD157D"/>
    <w:rsid w:val="00CD363C"/>
    <w:rsid w:val="00CE1482"/>
    <w:rsid w:val="00CE38EB"/>
    <w:rsid w:val="00CE3B57"/>
    <w:rsid w:val="00CE60F8"/>
    <w:rsid w:val="00CF017F"/>
    <w:rsid w:val="00CF04CF"/>
    <w:rsid w:val="00D0176F"/>
    <w:rsid w:val="00D018E7"/>
    <w:rsid w:val="00D0201C"/>
    <w:rsid w:val="00D02AB0"/>
    <w:rsid w:val="00D03470"/>
    <w:rsid w:val="00D03951"/>
    <w:rsid w:val="00D05922"/>
    <w:rsid w:val="00D0605F"/>
    <w:rsid w:val="00D10B76"/>
    <w:rsid w:val="00D14D86"/>
    <w:rsid w:val="00D150E5"/>
    <w:rsid w:val="00D17927"/>
    <w:rsid w:val="00D17CB1"/>
    <w:rsid w:val="00D21E6A"/>
    <w:rsid w:val="00D243AF"/>
    <w:rsid w:val="00D302D3"/>
    <w:rsid w:val="00D31677"/>
    <w:rsid w:val="00D3450D"/>
    <w:rsid w:val="00D35735"/>
    <w:rsid w:val="00D37B11"/>
    <w:rsid w:val="00D47BDA"/>
    <w:rsid w:val="00D5757D"/>
    <w:rsid w:val="00D620C9"/>
    <w:rsid w:val="00D6396D"/>
    <w:rsid w:val="00D672D9"/>
    <w:rsid w:val="00D71631"/>
    <w:rsid w:val="00D72FB1"/>
    <w:rsid w:val="00D751BA"/>
    <w:rsid w:val="00D821BD"/>
    <w:rsid w:val="00D82330"/>
    <w:rsid w:val="00D836FD"/>
    <w:rsid w:val="00D83CFA"/>
    <w:rsid w:val="00D8495F"/>
    <w:rsid w:val="00D85AC3"/>
    <w:rsid w:val="00D90486"/>
    <w:rsid w:val="00D910AE"/>
    <w:rsid w:val="00D929EE"/>
    <w:rsid w:val="00D95BE0"/>
    <w:rsid w:val="00DA0B99"/>
    <w:rsid w:val="00DA6426"/>
    <w:rsid w:val="00DA64EA"/>
    <w:rsid w:val="00DA692E"/>
    <w:rsid w:val="00DB47AB"/>
    <w:rsid w:val="00DB670D"/>
    <w:rsid w:val="00DB68B4"/>
    <w:rsid w:val="00DC19B2"/>
    <w:rsid w:val="00DC26F9"/>
    <w:rsid w:val="00DC274C"/>
    <w:rsid w:val="00DC52BD"/>
    <w:rsid w:val="00DC5C97"/>
    <w:rsid w:val="00DC68C6"/>
    <w:rsid w:val="00DC7DA2"/>
    <w:rsid w:val="00DD1417"/>
    <w:rsid w:val="00DD224A"/>
    <w:rsid w:val="00DD4CA2"/>
    <w:rsid w:val="00DD548F"/>
    <w:rsid w:val="00DD6AD3"/>
    <w:rsid w:val="00DE514F"/>
    <w:rsid w:val="00DE5A51"/>
    <w:rsid w:val="00DE7C7B"/>
    <w:rsid w:val="00DF20B4"/>
    <w:rsid w:val="00DF2B53"/>
    <w:rsid w:val="00E071B5"/>
    <w:rsid w:val="00E07918"/>
    <w:rsid w:val="00E1351C"/>
    <w:rsid w:val="00E14665"/>
    <w:rsid w:val="00E15907"/>
    <w:rsid w:val="00E20148"/>
    <w:rsid w:val="00E21EDD"/>
    <w:rsid w:val="00E24F0E"/>
    <w:rsid w:val="00E31009"/>
    <w:rsid w:val="00E350A4"/>
    <w:rsid w:val="00E37E00"/>
    <w:rsid w:val="00E40BF9"/>
    <w:rsid w:val="00E40DC9"/>
    <w:rsid w:val="00E40E0D"/>
    <w:rsid w:val="00E41595"/>
    <w:rsid w:val="00E415DD"/>
    <w:rsid w:val="00E45960"/>
    <w:rsid w:val="00E52AF7"/>
    <w:rsid w:val="00E54CF3"/>
    <w:rsid w:val="00E55860"/>
    <w:rsid w:val="00E5670A"/>
    <w:rsid w:val="00E57E30"/>
    <w:rsid w:val="00E60DF1"/>
    <w:rsid w:val="00E61167"/>
    <w:rsid w:val="00E67E8D"/>
    <w:rsid w:val="00E67F29"/>
    <w:rsid w:val="00E7304E"/>
    <w:rsid w:val="00E7787D"/>
    <w:rsid w:val="00E80A87"/>
    <w:rsid w:val="00E840BA"/>
    <w:rsid w:val="00E85568"/>
    <w:rsid w:val="00E90A43"/>
    <w:rsid w:val="00E976D6"/>
    <w:rsid w:val="00EA04C0"/>
    <w:rsid w:val="00EA42EA"/>
    <w:rsid w:val="00EA556B"/>
    <w:rsid w:val="00EB3493"/>
    <w:rsid w:val="00EB5DED"/>
    <w:rsid w:val="00EB6425"/>
    <w:rsid w:val="00EC3428"/>
    <w:rsid w:val="00EC62CC"/>
    <w:rsid w:val="00EE2D62"/>
    <w:rsid w:val="00EE2EE6"/>
    <w:rsid w:val="00EE3D8E"/>
    <w:rsid w:val="00EF43AE"/>
    <w:rsid w:val="00EF4439"/>
    <w:rsid w:val="00EF6330"/>
    <w:rsid w:val="00EF72FF"/>
    <w:rsid w:val="00EF7CD8"/>
    <w:rsid w:val="00F00CD4"/>
    <w:rsid w:val="00F04E88"/>
    <w:rsid w:val="00F05ACE"/>
    <w:rsid w:val="00F06263"/>
    <w:rsid w:val="00F06486"/>
    <w:rsid w:val="00F07512"/>
    <w:rsid w:val="00F10697"/>
    <w:rsid w:val="00F116D1"/>
    <w:rsid w:val="00F15B3F"/>
    <w:rsid w:val="00F1771F"/>
    <w:rsid w:val="00F24054"/>
    <w:rsid w:val="00F24299"/>
    <w:rsid w:val="00F25D6B"/>
    <w:rsid w:val="00F2723B"/>
    <w:rsid w:val="00F30312"/>
    <w:rsid w:val="00F30770"/>
    <w:rsid w:val="00F333FF"/>
    <w:rsid w:val="00F40933"/>
    <w:rsid w:val="00F41B6B"/>
    <w:rsid w:val="00F43D38"/>
    <w:rsid w:val="00F43F42"/>
    <w:rsid w:val="00F4478A"/>
    <w:rsid w:val="00F45B2C"/>
    <w:rsid w:val="00F5134C"/>
    <w:rsid w:val="00F514F7"/>
    <w:rsid w:val="00F518B8"/>
    <w:rsid w:val="00F536D0"/>
    <w:rsid w:val="00F5676C"/>
    <w:rsid w:val="00F567AB"/>
    <w:rsid w:val="00F60B2F"/>
    <w:rsid w:val="00F6184C"/>
    <w:rsid w:val="00F64637"/>
    <w:rsid w:val="00F656DE"/>
    <w:rsid w:val="00F65760"/>
    <w:rsid w:val="00F679E8"/>
    <w:rsid w:val="00F70FEA"/>
    <w:rsid w:val="00F751B5"/>
    <w:rsid w:val="00F80454"/>
    <w:rsid w:val="00F82CAF"/>
    <w:rsid w:val="00F848AE"/>
    <w:rsid w:val="00F8531E"/>
    <w:rsid w:val="00F854F1"/>
    <w:rsid w:val="00F8596F"/>
    <w:rsid w:val="00F906DD"/>
    <w:rsid w:val="00F91E58"/>
    <w:rsid w:val="00F94CBA"/>
    <w:rsid w:val="00F959C8"/>
    <w:rsid w:val="00FA0248"/>
    <w:rsid w:val="00FA04F0"/>
    <w:rsid w:val="00FA0CE7"/>
    <w:rsid w:val="00FA4E99"/>
    <w:rsid w:val="00FB5F70"/>
    <w:rsid w:val="00FC2C20"/>
    <w:rsid w:val="00FC45B7"/>
    <w:rsid w:val="00FD4D44"/>
    <w:rsid w:val="00FD4EB1"/>
    <w:rsid w:val="00FD61AD"/>
    <w:rsid w:val="00FD7540"/>
    <w:rsid w:val="00FD7835"/>
    <w:rsid w:val="00FE09DD"/>
    <w:rsid w:val="00FE1938"/>
    <w:rsid w:val="00FE1A3F"/>
    <w:rsid w:val="00FE2B2E"/>
    <w:rsid w:val="00FF63C3"/>
    <w:rsid w:val="0676E586"/>
    <w:rsid w:val="0A672C7D"/>
    <w:rsid w:val="0E68CF0E"/>
    <w:rsid w:val="12591605"/>
    <w:rsid w:val="1503837E"/>
    <w:rsid w:val="15C53C2D"/>
    <w:rsid w:val="17704F27"/>
    <w:rsid w:val="1C580687"/>
    <w:rsid w:val="1F7CE729"/>
    <w:rsid w:val="210E862C"/>
    <w:rsid w:val="24AC5A03"/>
    <w:rsid w:val="2B2A49B0"/>
    <w:rsid w:val="2C351E77"/>
    <w:rsid w:val="33B28CB1"/>
    <w:rsid w:val="37EB23F7"/>
    <w:rsid w:val="39002EA3"/>
    <w:rsid w:val="3CB6A0A2"/>
    <w:rsid w:val="3D85BF32"/>
    <w:rsid w:val="3E1FF57A"/>
    <w:rsid w:val="3E44E9EE"/>
    <w:rsid w:val="46A39FE5"/>
    <w:rsid w:val="470F9577"/>
    <w:rsid w:val="4940F20F"/>
    <w:rsid w:val="4A8F0A6D"/>
    <w:rsid w:val="4BFF06FD"/>
    <w:rsid w:val="4DC9722C"/>
    <w:rsid w:val="5114A1F2"/>
    <w:rsid w:val="547DF909"/>
    <w:rsid w:val="5C01FA13"/>
    <w:rsid w:val="62DA7027"/>
    <w:rsid w:val="661210E9"/>
    <w:rsid w:val="68369AA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465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07EE2"/>
    <w:pPr>
      <w:keepNext/>
      <w:widowControl w:val="0"/>
      <w:outlineLvl w:val="0"/>
    </w:pPr>
    <w:rPr>
      <w:rFonts w:ascii="Courier New" w:eastAsia="Times New Roman" w:hAnsi="Courier New" w:cs="Times New Roman"/>
      <w:b/>
      <w:bCs/>
      <w:sz w:val="22"/>
      <w:szCs w:val="20"/>
      <w:lang w:val="en-US"/>
    </w:rPr>
  </w:style>
  <w:style w:type="paragraph" w:styleId="Heading2">
    <w:name w:val="heading 2"/>
    <w:basedOn w:val="Normal"/>
    <w:next w:val="Normal"/>
    <w:link w:val="Heading2Char"/>
    <w:uiPriority w:val="9"/>
    <w:unhideWhenUsed/>
    <w:qFormat/>
    <w:rsid w:val="0086293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307EE2"/>
    <w:pPr>
      <w:keepNext/>
      <w:outlineLvl w:val="2"/>
    </w:pPr>
    <w:rPr>
      <w:rFonts w:ascii="Times New Roman" w:eastAsia="Times New Roman" w:hAnsi="Times New Roman" w:cs="Times New Roman"/>
      <w:b/>
      <w:bCs/>
      <w:sz w:val="20"/>
      <w:szCs w:val="20"/>
      <w:lang w:val="en-US"/>
    </w:rPr>
  </w:style>
  <w:style w:type="paragraph" w:styleId="Heading4">
    <w:name w:val="heading 4"/>
    <w:basedOn w:val="Normal"/>
    <w:next w:val="Normal"/>
    <w:link w:val="Heading4Char"/>
    <w:qFormat/>
    <w:rsid w:val="00307EE2"/>
    <w:pPr>
      <w:keepNext/>
      <w:widowControl w:val="0"/>
      <w:jc w:val="center"/>
      <w:outlineLvl w:val="3"/>
    </w:pPr>
    <w:rPr>
      <w:rFonts w:ascii="Times New Roman" w:eastAsia="Times New Roman" w:hAnsi="Times New Roman" w:cs="Times New Roman"/>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786C2E"/>
  </w:style>
  <w:style w:type="character" w:styleId="Mention">
    <w:name w:val="Mention"/>
    <w:basedOn w:val="DefaultParagraphFont"/>
    <w:uiPriority w:val="99"/>
    <w:unhideWhenUsed/>
    <w:rsid w:val="00C802FF"/>
    <w:rPr>
      <w:color w:val="2B579A"/>
      <w:shd w:val="clear" w:color="auto" w:fill="E6E6E6"/>
    </w:rPr>
  </w:style>
  <w:style w:type="character" w:styleId="Hyperlink">
    <w:name w:val="Hyperlink"/>
    <w:basedOn w:val="DefaultParagraphFont"/>
    <w:uiPriority w:val="99"/>
    <w:unhideWhenUsed/>
    <w:rsid w:val="00C802FF"/>
    <w:rPr>
      <w:color w:val="0563C1" w:themeColor="hyperlink"/>
      <w:u w:val="single"/>
    </w:rPr>
  </w:style>
  <w:style w:type="paragraph" w:styleId="CommentText">
    <w:name w:val="annotation text"/>
    <w:basedOn w:val="Normal"/>
    <w:link w:val="CommentTextChar"/>
    <w:uiPriority w:val="99"/>
    <w:semiHidden/>
    <w:unhideWhenUsed/>
    <w:rsid w:val="00C802FF"/>
    <w:rPr>
      <w:sz w:val="20"/>
      <w:szCs w:val="20"/>
    </w:rPr>
  </w:style>
  <w:style w:type="character" w:customStyle="1" w:styleId="CommentTextChar">
    <w:name w:val="Comment Text Char"/>
    <w:basedOn w:val="DefaultParagraphFont"/>
    <w:link w:val="CommentText"/>
    <w:uiPriority w:val="99"/>
    <w:semiHidden/>
    <w:rsid w:val="00C802FF"/>
    <w:rPr>
      <w:sz w:val="20"/>
      <w:szCs w:val="20"/>
      <w:lang w:val="en-GB"/>
    </w:rPr>
  </w:style>
  <w:style w:type="character" w:styleId="CommentReference">
    <w:name w:val="annotation reference"/>
    <w:basedOn w:val="DefaultParagraphFont"/>
    <w:uiPriority w:val="99"/>
    <w:semiHidden/>
    <w:unhideWhenUsed/>
    <w:rsid w:val="00C802FF"/>
    <w:rPr>
      <w:sz w:val="16"/>
      <w:szCs w:val="16"/>
    </w:rPr>
  </w:style>
  <w:style w:type="paragraph" w:styleId="CommentSubject">
    <w:name w:val="annotation subject"/>
    <w:basedOn w:val="CommentText"/>
    <w:next w:val="CommentText"/>
    <w:link w:val="CommentSubjectChar"/>
    <w:uiPriority w:val="99"/>
    <w:semiHidden/>
    <w:unhideWhenUsed/>
    <w:rsid w:val="00F514F7"/>
    <w:rPr>
      <w:b/>
      <w:bCs/>
    </w:rPr>
  </w:style>
  <w:style w:type="character" w:customStyle="1" w:styleId="CommentSubjectChar">
    <w:name w:val="Comment Subject Char"/>
    <w:basedOn w:val="CommentTextChar"/>
    <w:link w:val="CommentSubject"/>
    <w:uiPriority w:val="99"/>
    <w:semiHidden/>
    <w:rsid w:val="00F514F7"/>
    <w:rPr>
      <w:b/>
      <w:bCs/>
      <w:sz w:val="20"/>
      <w:szCs w:val="20"/>
      <w:lang w:val="en-GB"/>
    </w:rPr>
  </w:style>
  <w:style w:type="paragraph" w:styleId="ListParagraph">
    <w:name w:val="List Paragraph"/>
    <w:basedOn w:val="Normal"/>
    <w:uiPriority w:val="34"/>
    <w:qFormat/>
    <w:rsid w:val="00A758AE"/>
    <w:pPr>
      <w:ind w:left="720"/>
      <w:contextualSpacing/>
    </w:pPr>
  </w:style>
  <w:style w:type="paragraph" w:styleId="FootnoteText">
    <w:name w:val="footnote text"/>
    <w:basedOn w:val="Normal"/>
    <w:link w:val="FootnoteTextChar"/>
    <w:uiPriority w:val="99"/>
    <w:unhideWhenUsed/>
    <w:rsid w:val="00857DB1"/>
    <w:rPr>
      <w:sz w:val="20"/>
      <w:szCs w:val="20"/>
    </w:rPr>
  </w:style>
  <w:style w:type="character" w:customStyle="1" w:styleId="FootnoteTextChar">
    <w:name w:val="Footnote Text Char"/>
    <w:basedOn w:val="DefaultParagraphFont"/>
    <w:link w:val="FootnoteText"/>
    <w:uiPriority w:val="99"/>
    <w:rsid w:val="00857DB1"/>
    <w:rPr>
      <w:sz w:val="20"/>
      <w:szCs w:val="20"/>
    </w:rPr>
  </w:style>
  <w:style w:type="character" w:styleId="FootnoteReference">
    <w:name w:val="footnote reference"/>
    <w:basedOn w:val="DefaultParagraphFont"/>
    <w:uiPriority w:val="99"/>
    <w:semiHidden/>
    <w:unhideWhenUsed/>
    <w:rsid w:val="00857DB1"/>
    <w:rPr>
      <w:vertAlign w:val="superscript"/>
    </w:rPr>
  </w:style>
  <w:style w:type="paragraph" w:styleId="NormalWeb">
    <w:name w:val="Normal (Web)"/>
    <w:basedOn w:val="Normal"/>
    <w:uiPriority w:val="99"/>
    <w:semiHidden/>
    <w:unhideWhenUsed/>
    <w:rsid w:val="0001591F"/>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rsid w:val="00307EE2"/>
    <w:rPr>
      <w:rFonts w:ascii="Courier New" w:eastAsia="Times New Roman" w:hAnsi="Courier New" w:cs="Times New Roman"/>
      <w:b/>
      <w:bCs/>
      <w:sz w:val="22"/>
      <w:szCs w:val="20"/>
      <w:lang w:val="en-US"/>
    </w:rPr>
  </w:style>
  <w:style w:type="character" w:customStyle="1" w:styleId="Heading3Char">
    <w:name w:val="Heading 3 Char"/>
    <w:basedOn w:val="DefaultParagraphFont"/>
    <w:link w:val="Heading3"/>
    <w:rsid w:val="00307EE2"/>
    <w:rPr>
      <w:rFonts w:ascii="Times New Roman" w:eastAsia="Times New Roman" w:hAnsi="Times New Roman" w:cs="Times New Roman"/>
      <w:b/>
      <w:bCs/>
      <w:sz w:val="20"/>
      <w:szCs w:val="20"/>
      <w:lang w:val="en-US"/>
    </w:rPr>
  </w:style>
  <w:style w:type="character" w:customStyle="1" w:styleId="Heading4Char">
    <w:name w:val="Heading 4 Char"/>
    <w:basedOn w:val="DefaultParagraphFont"/>
    <w:link w:val="Heading4"/>
    <w:rsid w:val="00307EE2"/>
    <w:rPr>
      <w:rFonts w:ascii="Times New Roman" w:eastAsia="Times New Roman" w:hAnsi="Times New Roman" w:cs="Times New Roman"/>
      <w:u w:val="single"/>
      <w:lang w:val="en-US"/>
    </w:rPr>
  </w:style>
  <w:style w:type="paragraph" w:styleId="Title">
    <w:name w:val="Title"/>
    <w:basedOn w:val="Normal"/>
    <w:link w:val="TitleChar"/>
    <w:qFormat/>
    <w:rsid w:val="00307EE2"/>
    <w:pPr>
      <w:widowControl w:val="0"/>
      <w:jc w:val="center"/>
    </w:pPr>
    <w:rPr>
      <w:rFonts w:ascii="Times New Roman" w:eastAsia="Times New Roman" w:hAnsi="Times New Roman" w:cs="Times New Roman"/>
      <w:b/>
      <w:sz w:val="22"/>
      <w:lang w:val="en-US"/>
    </w:rPr>
  </w:style>
  <w:style w:type="character" w:customStyle="1" w:styleId="TitleChar">
    <w:name w:val="Title Char"/>
    <w:basedOn w:val="DefaultParagraphFont"/>
    <w:link w:val="Title"/>
    <w:rsid w:val="00307EE2"/>
    <w:rPr>
      <w:rFonts w:ascii="Times New Roman" w:eastAsia="Times New Roman" w:hAnsi="Times New Roman" w:cs="Times New Roman"/>
      <w:b/>
      <w:sz w:val="22"/>
      <w:lang w:val="en-US"/>
    </w:rPr>
  </w:style>
  <w:style w:type="character" w:customStyle="1" w:styleId="citation-pubyear">
    <w:name w:val="citation-pubyear"/>
    <w:basedOn w:val="DefaultParagraphFont"/>
    <w:rsid w:val="00307EE2"/>
  </w:style>
  <w:style w:type="character" w:customStyle="1" w:styleId="txtdetail">
    <w:name w:val="txt_detail"/>
    <w:basedOn w:val="DefaultParagraphFont"/>
    <w:rsid w:val="00307EE2"/>
  </w:style>
  <w:style w:type="character" w:customStyle="1" w:styleId="awspan">
    <w:name w:val="awspan"/>
    <w:basedOn w:val="DefaultParagraphFont"/>
    <w:rsid w:val="00845E7D"/>
  </w:style>
  <w:style w:type="character" w:styleId="UnresolvedMention">
    <w:name w:val="Unresolved Mention"/>
    <w:basedOn w:val="DefaultParagraphFont"/>
    <w:uiPriority w:val="99"/>
    <w:semiHidden/>
    <w:unhideWhenUsed/>
    <w:rsid w:val="001E1BF2"/>
    <w:rPr>
      <w:color w:val="605E5C"/>
      <w:shd w:val="clear" w:color="auto" w:fill="E1DFDD"/>
    </w:rPr>
  </w:style>
  <w:style w:type="paragraph" w:styleId="Header">
    <w:name w:val="header"/>
    <w:basedOn w:val="Normal"/>
    <w:link w:val="HeaderChar"/>
    <w:uiPriority w:val="99"/>
    <w:unhideWhenUsed/>
    <w:rsid w:val="00F06263"/>
    <w:pPr>
      <w:tabs>
        <w:tab w:val="center" w:pos="4513"/>
        <w:tab w:val="right" w:pos="9026"/>
      </w:tabs>
    </w:pPr>
  </w:style>
  <w:style w:type="character" w:customStyle="1" w:styleId="HeaderChar">
    <w:name w:val="Header Char"/>
    <w:basedOn w:val="DefaultParagraphFont"/>
    <w:link w:val="Header"/>
    <w:uiPriority w:val="99"/>
    <w:rsid w:val="00F06263"/>
  </w:style>
  <w:style w:type="paragraph" w:styleId="Footer">
    <w:name w:val="footer"/>
    <w:basedOn w:val="Normal"/>
    <w:link w:val="FooterChar"/>
    <w:uiPriority w:val="99"/>
    <w:unhideWhenUsed/>
    <w:rsid w:val="00F06263"/>
    <w:pPr>
      <w:tabs>
        <w:tab w:val="center" w:pos="4513"/>
        <w:tab w:val="right" w:pos="9026"/>
      </w:tabs>
    </w:pPr>
  </w:style>
  <w:style w:type="character" w:customStyle="1" w:styleId="FooterChar">
    <w:name w:val="Footer Char"/>
    <w:basedOn w:val="DefaultParagraphFont"/>
    <w:link w:val="Footer"/>
    <w:uiPriority w:val="99"/>
    <w:rsid w:val="00F06263"/>
  </w:style>
  <w:style w:type="table" w:styleId="TableGrid">
    <w:name w:val="Table Grid"/>
    <w:basedOn w:val="TableNormal"/>
    <w:uiPriority w:val="39"/>
    <w:rsid w:val="001E7E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semiHidden/>
    <w:unhideWhenUsed/>
    <w:rsid w:val="007857D7"/>
    <w:rPr>
      <w:vertAlign w:val="superscript"/>
    </w:rPr>
  </w:style>
  <w:style w:type="character" w:customStyle="1" w:styleId="s1">
    <w:name w:val="s1"/>
    <w:basedOn w:val="DefaultParagraphFont"/>
    <w:rsid w:val="00BA01E7"/>
  </w:style>
  <w:style w:type="character" w:customStyle="1" w:styleId="s2">
    <w:name w:val="s2"/>
    <w:basedOn w:val="DefaultParagraphFont"/>
    <w:rsid w:val="00BA01E7"/>
  </w:style>
  <w:style w:type="character" w:customStyle="1" w:styleId="s3">
    <w:name w:val="s3"/>
    <w:basedOn w:val="DefaultParagraphFont"/>
    <w:rsid w:val="00BA01E7"/>
  </w:style>
  <w:style w:type="character" w:customStyle="1" w:styleId="Heading2Char">
    <w:name w:val="Heading 2 Char"/>
    <w:basedOn w:val="DefaultParagraphFont"/>
    <w:link w:val="Heading2"/>
    <w:uiPriority w:val="9"/>
    <w:rsid w:val="00862934"/>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0D53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524040">
      <w:bodyDiv w:val="1"/>
      <w:marLeft w:val="0"/>
      <w:marRight w:val="0"/>
      <w:marTop w:val="0"/>
      <w:marBottom w:val="0"/>
      <w:divBdr>
        <w:top w:val="none" w:sz="0" w:space="0" w:color="auto"/>
        <w:left w:val="none" w:sz="0" w:space="0" w:color="auto"/>
        <w:bottom w:val="none" w:sz="0" w:space="0" w:color="auto"/>
        <w:right w:val="none" w:sz="0" w:space="0" w:color="auto"/>
      </w:divBdr>
      <w:divsChild>
        <w:div w:id="1534344675">
          <w:marLeft w:val="0"/>
          <w:marRight w:val="0"/>
          <w:marTop w:val="0"/>
          <w:marBottom w:val="0"/>
          <w:divBdr>
            <w:top w:val="none" w:sz="0" w:space="0" w:color="auto"/>
            <w:left w:val="none" w:sz="0" w:space="0" w:color="auto"/>
            <w:bottom w:val="none" w:sz="0" w:space="0" w:color="auto"/>
            <w:right w:val="none" w:sz="0" w:space="0" w:color="auto"/>
          </w:divBdr>
          <w:divsChild>
            <w:div w:id="1521820203">
              <w:marLeft w:val="0"/>
              <w:marRight w:val="0"/>
              <w:marTop w:val="0"/>
              <w:marBottom w:val="0"/>
              <w:divBdr>
                <w:top w:val="none" w:sz="0" w:space="0" w:color="auto"/>
                <w:left w:val="none" w:sz="0" w:space="0" w:color="auto"/>
                <w:bottom w:val="none" w:sz="0" w:space="0" w:color="auto"/>
                <w:right w:val="none" w:sz="0" w:space="0" w:color="auto"/>
              </w:divBdr>
              <w:divsChild>
                <w:div w:id="24985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46433">
          <w:marLeft w:val="0"/>
          <w:marRight w:val="0"/>
          <w:marTop w:val="0"/>
          <w:marBottom w:val="0"/>
          <w:divBdr>
            <w:top w:val="none" w:sz="0" w:space="0" w:color="auto"/>
            <w:left w:val="none" w:sz="0" w:space="0" w:color="auto"/>
            <w:bottom w:val="none" w:sz="0" w:space="0" w:color="auto"/>
            <w:right w:val="none" w:sz="0" w:space="0" w:color="auto"/>
          </w:divBdr>
          <w:divsChild>
            <w:div w:id="1255553729">
              <w:marLeft w:val="0"/>
              <w:marRight w:val="0"/>
              <w:marTop w:val="0"/>
              <w:marBottom w:val="0"/>
              <w:divBdr>
                <w:top w:val="none" w:sz="0" w:space="0" w:color="auto"/>
                <w:left w:val="none" w:sz="0" w:space="0" w:color="auto"/>
                <w:bottom w:val="none" w:sz="0" w:space="0" w:color="auto"/>
                <w:right w:val="none" w:sz="0" w:space="0" w:color="auto"/>
              </w:divBdr>
            </w:div>
            <w:div w:id="27343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647453">
      <w:bodyDiv w:val="1"/>
      <w:marLeft w:val="0"/>
      <w:marRight w:val="0"/>
      <w:marTop w:val="0"/>
      <w:marBottom w:val="0"/>
      <w:divBdr>
        <w:top w:val="none" w:sz="0" w:space="0" w:color="auto"/>
        <w:left w:val="none" w:sz="0" w:space="0" w:color="auto"/>
        <w:bottom w:val="none" w:sz="0" w:space="0" w:color="auto"/>
        <w:right w:val="none" w:sz="0" w:space="0" w:color="auto"/>
      </w:divBdr>
    </w:div>
    <w:div w:id="1755475130">
      <w:bodyDiv w:val="1"/>
      <w:marLeft w:val="0"/>
      <w:marRight w:val="0"/>
      <w:marTop w:val="0"/>
      <w:marBottom w:val="0"/>
      <w:divBdr>
        <w:top w:val="none" w:sz="0" w:space="0" w:color="auto"/>
        <w:left w:val="none" w:sz="0" w:space="0" w:color="auto"/>
        <w:bottom w:val="none" w:sz="0" w:space="0" w:color="auto"/>
        <w:right w:val="none" w:sz="0" w:space="0" w:color="auto"/>
      </w:divBdr>
      <w:divsChild>
        <w:div w:id="1801264259">
          <w:marLeft w:val="0"/>
          <w:marRight w:val="0"/>
          <w:marTop w:val="0"/>
          <w:marBottom w:val="0"/>
          <w:divBdr>
            <w:top w:val="none" w:sz="0" w:space="0" w:color="auto"/>
            <w:left w:val="none" w:sz="0" w:space="0" w:color="auto"/>
            <w:bottom w:val="none" w:sz="0" w:space="0" w:color="auto"/>
            <w:right w:val="none" w:sz="0" w:space="0" w:color="auto"/>
          </w:divBdr>
        </w:div>
        <w:div w:id="1424957766">
          <w:marLeft w:val="0"/>
          <w:marRight w:val="0"/>
          <w:marTop w:val="0"/>
          <w:marBottom w:val="0"/>
          <w:divBdr>
            <w:top w:val="none" w:sz="0" w:space="0" w:color="auto"/>
            <w:left w:val="none" w:sz="0" w:space="0" w:color="auto"/>
            <w:bottom w:val="none" w:sz="0" w:space="0" w:color="auto"/>
            <w:right w:val="none" w:sz="0" w:space="0" w:color="auto"/>
          </w:divBdr>
        </w:div>
        <w:div w:id="384060671">
          <w:marLeft w:val="0"/>
          <w:marRight w:val="0"/>
          <w:marTop w:val="0"/>
          <w:marBottom w:val="0"/>
          <w:divBdr>
            <w:top w:val="none" w:sz="0" w:space="0" w:color="auto"/>
            <w:left w:val="none" w:sz="0" w:space="0" w:color="auto"/>
            <w:bottom w:val="none" w:sz="0" w:space="0" w:color="auto"/>
            <w:right w:val="none" w:sz="0" w:space="0" w:color="auto"/>
          </w:divBdr>
        </w:div>
      </w:divsChild>
    </w:div>
    <w:div w:id="1889032533">
      <w:bodyDiv w:val="1"/>
      <w:marLeft w:val="0"/>
      <w:marRight w:val="0"/>
      <w:marTop w:val="0"/>
      <w:marBottom w:val="0"/>
      <w:divBdr>
        <w:top w:val="none" w:sz="0" w:space="0" w:color="auto"/>
        <w:left w:val="none" w:sz="0" w:space="0" w:color="auto"/>
        <w:bottom w:val="none" w:sz="0" w:space="0" w:color="auto"/>
        <w:right w:val="none" w:sz="0" w:space="0" w:color="auto"/>
      </w:divBdr>
      <w:divsChild>
        <w:div w:id="1754624560">
          <w:marLeft w:val="806"/>
          <w:marRight w:val="0"/>
          <w:marTop w:val="0"/>
          <w:marBottom w:val="120"/>
          <w:divBdr>
            <w:top w:val="none" w:sz="0" w:space="0" w:color="auto"/>
            <w:left w:val="none" w:sz="0" w:space="0" w:color="auto"/>
            <w:bottom w:val="none" w:sz="0" w:space="0" w:color="auto"/>
            <w:right w:val="none" w:sz="0" w:space="0" w:color="auto"/>
          </w:divBdr>
        </w:div>
        <w:div w:id="1253926448">
          <w:marLeft w:val="806"/>
          <w:marRight w:val="0"/>
          <w:marTop w:val="0"/>
          <w:marBottom w:val="120"/>
          <w:divBdr>
            <w:top w:val="none" w:sz="0" w:space="0" w:color="auto"/>
            <w:left w:val="none" w:sz="0" w:space="0" w:color="auto"/>
            <w:bottom w:val="none" w:sz="0" w:space="0" w:color="auto"/>
            <w:right w:val="none" w:sz="0" w:space="0" w:color="auto"/>
          </w:divBdr>
        </w:div>
        <w:div w:id="433938316">
          <w:marLeft w:val="806"/>
          <w:marRight w:val="0"/>
          <w:marTop w:val="0"/>
          <w:marBottom w:val="120"/>
          <w:divBdr>
            <w:top w:val="none" w:sz="0" w:space="0" w:color="auto"/>
            <w:left w:val="none" w:sz="0" w:space="0" w:color="auto"/>
            <w:bottom w:val="none" w:sz="0" w:space="0" w:color="auto"/>
            <w:right w:val="none" w:sz="0" w:space="0" w:color="auto"/>
          </w:divBdr>
        </w:div>
        <w:div w:id="450127012">
          <w:marLeft w:val="806"/>
          <w:marRight w:val="0"/>
          <w:marTop w:val="0"/>
          <w:marBottom w:val="120"/>
          <w:divBdr>
            <w:top w:val="none" w:sz="0" w:space="0" w:color="auto"/>
            <w:left w:val="none" w:sz="0" w:space="0" w:color="auto"/>
            <w:bottom w:val="none" w:sz="0" w:space="0" w:color="auto"/>
            <w:right w:val="none" w:sz="0" w:space="0" w:color="auto"/>
          </w:divBdr>
        </w:div>
        <w:div w:id="1949892818">
          <w:marLeft w:val="1238"/>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doi.org/10.1017/err.2023.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1ACC9-6BE9-EC47-A753-9302AFE2F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5357</Words>
  <Characters>30537</Characters>
  <Application>Microsoft Office Word</Application>
  <DocSecurity>0</DocSecurity>
  <Lines>254</Lines>
  <Paragraphs>71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2023-05-19T12:00:00Z</dcterms:created>
  <dcterms:modified xsi:type="dcterms:W3CDTF">2024-04-19T04:26:00Z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id="bvSMAOHw"/&gt;&lt;style id="http://www.zotero.org/styles/oscola" hasBibliography="1" bibliographyStyleHasBeenSet="0"/&gt;&lt;prefs&gt;&lt;pref name="fieldType" value="Field"/&gt;&lt;pref name="noteType" value="1"/&gt;&lt;/pre</vt:lpwstr>
  </property>
  <property fmtid="{D5CDD505-2E9C-101B-9397-08002B2CF9AE}" pid="3" name="ZOTERO_PREF_2">
    <vt:lpwstr>fs&gt;&lt;/data&gt;</vt:lpwstr>
  </property>
</Properties>
</file>